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66" w:rsidRPr="00A9598A" w:rsidRDefault="004C2A66" w:rsidP="004C2A66">
      <w:pPr>
        <w:spacing w:before="130" w:line="260" w:lineRule="exact"/>
        <w:ind w:firstLine="539"/>
        <w:jc w:val="right"/>
        <w:rPr>
          <w:rFonts w:ascii="Cambria" w:hAnsi="Cambria"/>
          <w:color w:val="auto"/>
          <w:kern w:val="0"/>
          <w:sz w:val="19"/>
          <w:szCs w:val="24"/>
        </w:rPr>
      </w:pPr>
      <w:r w:rsidRPr="00A9598A">
        <w:rPr>
          <w:rFonts w:ascii="Cambria" w:hAnsi="Cambria"/>
          <w:color w:val="auto"/>
          <w:kern w:val="0"/>
          <w:sz w:val="19"/>
          <w:szCs w:val="24"/>
        </w:rPr>
        <w:t>1. pielikums</w:t>
      </w:r>
      <w:r w:rsidRPr="00A9598A">
        <w:rPr>
          <w:rFonts w:ascii="Cambria" w:hAnsi="Cambria"/>
          <w:color w:val="auto"/>
          <w:kern w:val="0"/>
          <w:sz w:val="19"/>
          <w:szCs w:val="24"/>
        </w:rPr>
        <w:br/>
        <w:t xml:space="preserve">Mārupes novada pašvaldības domes </w:t>
      </w:r>
      <w:r w:rsidRPr="00A9598A">
        <w:rPr>
          <w:rFonts w:ascii="Cambria" w:hAnsi="Cambria"/>
          <w:color w:val="auto"/>
          <w:kern w:val="0"/>
          <w:sz w:val="19"/>
          <w:szCs w:val="24"/>
        </w:rPr>
        <w:br/>
        <w:t>29.09.2021. saistošajiem noteikumiem Nr. 13/2021</w:t>
      </w:r>
    </w:p>
    <w:p w:rsidR="004C2A66" w:rsidRPr="00A9598A" w:rsidRDefault="004C2A66" w:rsidP="004C2A66">
      <w:pPr>
        <w:spacing w:before="360"/>
        <w:ind w:left="567" w:right="567"/>
        <w:jc w:val="center"/>
        <w:rPr>
          <w:rFonts w:ascii="Cambria" w:hAnsi="Cambria"/>
          <w:b/>
          <w:color w:val="auto"/>
          <w:kern w:val="0"/>
          <w:sz w:val="22"/>
          <w:szCs w:val="24"/>
        </w:rPr>
      </w:pPr>
      <w:r w:rsidRPr="00A9598A">
        <w:rPr>
          <w:rFonts w:ascii="Cambria" w:hAnsi="Cambria"/>
          <w:b/>
          <w:color w:val="auto"/>
          <w:kern w:val="0"/>
          <w:sz w:val="22"/>
          <w:szCs w:val="24"/>
        </w:rPr>
        <w:t>Privātās pirmsskolas izglītības iestādes pakalpojumu izmaksu tāme</w:t>
      </w:r>
    </w:p>
    <w:p w:rsidR="004C2A66" w:rsidRPr="00A9598A" w:rsidRDefault="004C2A66" w:rsidP="004C2A66">
      <w:pPr>
        <w:spacing w:before="130" w:line="260" w:lineRule="exact"/>
        <w:ind w:firstLine="539"/>
        <w:jc w:val="center"/>
        <w:rPr>
          <w:rFonts w:ascii="Cambria" w:hAnsi="Cambria"/>
          <w:b/>
          <w:color w:val="auto"/>
          <w:kern w:val="0"/>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85"/>
        <w:gridCol w:w="4111"/>
      </w:tblGrid>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Izglītības iestāde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Izglītības iestādes dibinātājs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Reģistrācijas Nr.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Juridiskā adrese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jc w:val="left"/>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Pirmsskolas izglītības programmas īstenošanas adrese/es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Tālrunis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E-pasta adrese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r w:rsidR="004C2A66" w:rsidRPr="00A9598A" w:rsidTr="003A09BA">
        <w:tc>
          <w:tcPr>
            <w:tcW w:w="4815" w:type="dxa"/>
            <w:shd w:val="clear" w:color="auto" w:fill="auto"/>
          </w:tcPr>
          <w:p w:rsidR="004C2A66" w:rsidRPr="00A9598A" w:rsidRDefault="004C2A66" w:rsidP="003A09BA">
            <w:pPr>
              <w:rPr>
                <w:rFonts w:ascii="Cambria" w:hAnsi="Cambria"/>
                <w:b/>
                <w:color w:val="auto"/>
                <w:kern w:val="0"/>
                <w:sz w:val="19"/>
                <w:szCs w:val="22"/>
                <w:lang w:eastAsia="en-US"/>
              </w:rPr>
            </w:pPr>
            <w:r w:rsidRPr="00A9598A">
              <w:rPr>
                <w:rFonts w:ascii="Cambria" w:hAnsi="Cambria"/>
                <w:b/>
                <w:color w:val="auto"/>
                <w:kern w:val="0"/>
                <w:sz w:val="19"/>
                <w:szCs w:val="22"/>
                <w:lang w:eastAsia="en-US"/>
              </w:rPr>
              <w:t xml:space="preserve">Izmaksu periods </w:t>
            </w:r>
          </w:p>
        </w:tc>
        <w:tc>
          <w:tcPr>
            <w:tcW w:w="4961" w:type="dxa"/>
            <w:shd w:val="clear" w:color="auto" w:fill="auto"/>
          </w:tcPr>
          <w:p w:rsidR="004C2A66" w:rsidRPr="00A9598A" w:rsidRDefault="004C2A66" w:rsidP="003A09BA">
            <w:pPr>
              <w:rPr>
                <w:rFonts w:ascii="Cambria" w:hAnsi="Cambria"/>
                <w:color w:val="auto"/>
                <w:kern w:val="0"/>
                <w:sz w:val="19"/>
                <w:szCs w:val="22"/>
                <w:lang w:eastAsia="en-US"/>
              </w:rPr>
            </w:pPr>
          </w:p>
        </w:tc>
      </w:tr>
    </w:tbl>
    <w:p w:rsidR="004C2A66" w:rsidRPr="00A9598A" w:rsidRDefault="004C2A66" w:rsidP="004C2A66">
      <w:pPr>
        <w:spacing w:before="130" w:line="260" w:lineRule="exact"/>
        <w:ind w:firstLine="539"/>
        <w:rPr>
          <w:rFonts w:ascii="Cambria" w:hAnsi="Cambria"/>
          <w:b/>
          <w:color w:val="auto"/>
          <w:kern w:val="0"/>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47"/>
        <w:gridCol w:w="3065"/>
        <w:gridCol w:w="929"/>
        <w:gridCol w:w="1409"/>
        <w:gridCol w:w="1546"/>
      </w:tblGrid>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lang w:eastAsia="en-US"/>
              </w:rPr>
            </w:pPr>
            <w:r w:rsidRPr="00A9598A">
              <w:rPr>
                <w:rFonts w:ascii="Cambria" w:hAnsi="Cambria"/>
                <w:b/>
                <w:bCs/>
                <w:color w:val="auto"/>
                <w:kern w:val="0"/>
                <w:sz w:val="19"/>
                <w:lang w:eastAsia="en-US"/>
              </w:rPr>
              <w:t xml:space="preserve">Ekonomiskās klasifikācijas kods </w:t>
            </w:r>
          </w:p>
        </w:tc>
        <w:tc>
          <w:tcPr>
            <w:tcW w:w="3969" w:type="dxa"/>
            <w:shd w:val="clear" w:color="auto" w:fill="auto"/>
          </w:tcPr>
          <w:p w:rsidR="004C2A66" w:rsidRPr="00A9598A" w:rsidRDefault="004C2A66" w:rsidP="003A09BA">
            <w:pPr>
              <w:autoSpaceDE w:val="0"/>
              <w:autoSpaceDN w:val="0"/>
              <w:adjustRightInd w:val="0"/>
              <w:rPr>
                <w:rFonts w:ascii="Cambria" w:hAnsi="Cambria"/>
                <w:color w:val="auto"/>
                <w:kern w:val="0"/>
                <w:sz w:val="19"/>
                <w:lang w:eastAsia="en-US"/>
              </w:rPr>
            </w:pPr>
            <w:r w:rsidRPr="00A9598A">
              <w:rPr>
                <w:rFonts w:ascii="Cambria" w:hAnsi="Cambria"/>
                <w:b/>
                <w:bCs/>
                <w:color w:val="auto"/>
                <w:kern w:val="0"/>
                <w:sz w:val="19"/>
                <w:lang w:eastAsia="en-US"/>
              </w:rPr>
              <w:t xml:space="preserve">Izglītības iestāde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lang w:eastAsia="en-US"/>
              </w:rPr>
            </w:pPr>
            <w:r w:rsidRPr="00A9598A">
              <w:rPr>
                <w:rFonts w:ascii="Cambria" w:hAnsi="Cambria"/>
                <w:b/>
                <w:bCs/>
                <w:color w:val="auto"/>
                <w:kern w:val="0"/>
                <w:sz w:val="19"/>
                <w:lang w:eastAsia="en-US"/>
              </w:rPr>
              <w:t xml:space="preserve">KOPĀ </w:t>
            </w: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lang w:eastAsia="en-US"/>
              </w:rPr>
            </w:pPr>
            <w:r w:rsidRPr="00A9598A">
              <w:rPr>
                <w:rFonts w:ascii="Cambria" w:hAnsi="Cambria"/>
                <w:b/>
                <w:bCs/>
                <w:color w:val="auto"/>
                <w:kern w:val="0"/>
                <w:sz w:val="19"/>
                <w:lang w:eastAsia="en-US"/>
              </w:rPr>
              <w:t xml:space="preserve">PPII FINASĒJUMS </w:t>
            </w: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lang w:eastAsia="en-US"/>
              </w:rPr>
            </w:pPr>
            <w:r w:rsidRPr="00A9598A">
              <w:rPr>
                <w:rFonts w:ascii="Cambria" w:hAnsi="Cambria"/>
                <w:b/>
                <w:bCs/>
                <w:color w:val="auto"/>
                <w:kern w:val="0"/>
                <w:sz w:val="19"/>
                <w:lang w:eastAsia="en-US"/>
              </w:rPr>
              <w:t xml:space="preserve">VECĀKU FINANSĒJUMS </w:t>
            </w:r>
          </w:p>
        </w:tc>
      </w:tr>
      <w:tr w:rsidR="004C2A66" w:rsidRPr="00A9598A" w:rsidTr="003A09BA">
        <w:tc>
          <w:tcPr>
            <w:tcW w:w="9776" w:type="dxa"/>
            <w:gridSpan w:val="5"/>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Izmaksas par pirmsskolas izglītības pakalpojumu privātā izglītības iestādē, EUR </w:t>
            </w:r>
          </w:p>
        </w:tc>
      </w:tr>
      <w:tr w:rsidR="004C2A66" w:rsidRPr="00A9598A" w:rsidTr="003A09BA">
        <w:tc>
          <w:tcPr>
            <w:tcW w:w="9776" w:type="dxa"/>
            <w:gridSpan w:val="5"/>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Izmaksas par pirmsskolas izglītības pakalpojumu privātā izglītības iestādē ir aprēķinātas, atbilstoši ekonomiskās klasifikācijas kodiem iekļaujot šādus iepriekšējā gadā pēc naudas plūsmas uzskaitītos izdevumus un šādas aprēķinātas vērtības, kuras dalītas ar audzēkņu skaitu uz kārtējā gada 1. septembri attiecīgajā pirmsskolas izglītības iestādē, EUR: </w:t>
            </w:r>
          </w:p>
        </w:tc>
      </w:tr>
      <w:tr w:rsidR="004C2A66" w:rsidRPr="00A9598A" w:rsidTr="003A09BA">
        <w:tc>
          <w:tcPr>
            <w:tcW w:w="5382" w:type="dxa"/>
            <w:gridSpan w:val="2"/>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1. Aprēķinā iekļautie izdevumi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1100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Atalgojumi (EKK 1100) (izņemot pedagogu atalgojumu, kuru piešķir kā mērķdotāciju no valsts budžeta)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1200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Darba devēja valsts sociālās apdrošināšanas obligātās iemaksas, pabalsti un kompensācijas (EKK 1200) (izņemot valsts sociālās apdrošināšanas obligātās iemaksas, kuras piešķir kā mērķdotāciju no valsts budžeta);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2100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Mācību, darba un dienesta komandējumi, dienesta, darba braucieni (EKK 2100) (izņemot tos, kas finansēti no Eiropas Savienības fondiem)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2200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Pakalpojumu samaksa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2210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Pasta, telefona un citi sakaru pakalpojumi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2220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Izdevumi par komunālajiem pakalpojumiem;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2230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Iestādes administratīvie izdevumi un ar iestādes darbības nodrošināšanu saistītie izdevumi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2240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Remontdarbi un iestāžu uzturēšanas pakalpojumi (izņemot ēku, būvju un ceļu kapitālo remontu);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pageBreakBefore/>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lastRenderedPageBreak/>
              <w:t xml:space="preserve">2250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Informācijas tehnoloģiju pakalpojumi;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2260 </w:t>
            </w:r>
          </w:p>
        </w:tc>
        <w:tc>
          <w:tcPr>
            <w:tcW w:w="396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Īres un nomas maksa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2300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Krājumi, materiāli, energoresursi, preces, biroja preces un inventārs, kurus neuzskaita pamatkapitāla veidošanā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2310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Izdevumi par precēm iestādes darbības nodrošināšanai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2320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Kurināmais un enerģētiskie materiāli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2340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Zāles, ķimikālijas, laboratorijas preces, medicīniskās ierīces, medicīniskie instrumenti, laboratorijas dzīvnieki un to uzturēšana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2350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Kārtējā remonta un iestāžu uzturēšanas materiāli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2360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Valsts un pašvaldību aprūpē un apgādē esošo personu uzturēšanas izdevumi (izņemot ēdināšanas izdevumus (EKK 2363));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2370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color w:val="auto"/>
                <w:kern w:val="0"/>
                <w:sz w:val="19"/>
                <w:szCs w:val="22"/>
                <w:lang w:eastAsia="en-US"/>
              </w:rPr>
              <w:t xml:space="preserve">Mācību līdzekļi un materiāli (izņemot valsts budžeta dotācijas mācību līdzekļu iegādei) </w:t>
            </w:r>
          </w:p>
        </w:tc>
        <w:tc>
          <w:tcPr>
            <w:tcW w:w="1134"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2400 </w:t>
            </w: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Izdevumi periodikas iegādei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Kopējais pamatlīdzekļu nolietojums, kas tiek aprēķināts, ievērojot ilgtermiņa ieguldījumu uzskaites kārtību un kurš tiek dalīts ar audzēkņu skaitu attiecīgajā izglītības iestādē.</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Citi izdevumi </w:t>
            </w:r>
            <w:r w:rsidRPr="00A9598A">
              <w:rPr>
                <w:rFonts w:ascii="Cambria" w:hAnsi="Cambria"/>
                <w:b/>
                <w:bCs/>
                <w:i/>
                <w:iCs/>
                <w:color w:val="auto"/>
                <w:kern w:val="0"/>
                <w:sz w:val="19"/>
                <w:szCs w:val="22"/>
                <w:lang w:eastAsia="en-US"/>
              </w:rPr>
              <w:t>(ja tādi tiek norādīti, nepieciešams norādīt izdevumu veidu)</w:t>
            </w:r>
            <w:r w:rsidRPr="00A9598A">
              <w:rPr>
                <w:rFonts w:ascii="Cambria" w:hAnsi="Cambria"/>
                <w:b/>
                <w:bCs/>
                <w:color w:val="auto"/>
                <w:kern w:val="0"/>
                <w:sz w:val="19"/>
                <w:szCs w:val="22"/>
                <w:lang w:eastAsia="en-US"/>
              </w:rPr>
              <w:t>.</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5382" w:type="dxa"/>
            <w:gridSpan w:val="2"/>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2. Aprēķinā neiekļautie izdevumi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3969" w:type="dxa"/>
            <w:shd w:val="clear" w:color="auto" w:fill="auto"/>
          </w:tcPr>
          <w:p w:rsidR="004C2A66" w:rsidRPr="00A9598A" w:rsidRDefault="004C2A66" w:rsidP="003A09BA">
            <w:pPr>
              <w:autoSpaceDE w:val="0"/>
              <w:autoSpaceDN w:val="0"/>
              <w:adjustRightInd w:val="0"/>
              <w:jc w:val="left"/>
              <w:rPr>
                <w:rFonts w:ascii="Cambria" w:hAnsi="Cambria"/>
                <w:b/>
                <w:bCs/>
                <w:color w:val="auto"/>
                <w:kern w:val="0"/>
                <w:sz w:val="19"/>
                <w:szCs w:val="22"/>
                <w:lang w:eastAsia="en-US"/>
              </w:rPr>
            </w:pPr>
            <w:r w:rsidRPr="00A9598A">
              <w:rPr>
                <w:rFonts w:ascii="Cambria" w:hAnsi="Cambria"/>
                <w:b/>
                <w:bCs/>
                <w:color w:val="auto"/>
                <w:kern w:val="0"/>
                <w:sz w:val="19"/>
                <w:szCs w:val="22"/>
                <w:lang w:eastAsia="en-US"/>
              </w:rPr>
              <w:t xml:space="preserve">Valsts budžeta mērķdotācija, ko privātā izglītības iestāde saņem par bērniem, kam tiek īstenota obligātā sagatavošana pamatizglītības apguvei </w:t>
            </w:r>
          </w:p>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(summa netiek iekļauta attiecīgajās izmaksu pozīcijās)</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3969" w:type="dxa"/>
            <w:shd w:val="clear" w:color="auto" w:fill="auto"/>
          </w:tcPr>
          <w:p w:rsidR="004C2A66" w:rsidRPr="00A9598A" w:rsidRDefault="004C2A66" w:rsidP="003A09BA">
            <w:pPr>
              <w:autoSpaceDE w:val="0"/>
              <w:autoSpaceDN w:val="0"/>
              <w:adjustRightInd w:val="0"/>
              <w:jc w:val="left"/>
              <w:rPr>
                <w:rFonts w:ascii="Cambria" w:hAnsi="Cambria"/>
                <w:b/>
                <w:bCs/>
                <w:color w:val="auto"/>
                <w:kern w:val="0"/>
                <w:sz w:val="19"/>
                <w:szCs w:val="22"/>
                <w:lang w:eastAsia="en-US"/>
              </w:rPr>
            </w:pPr>
            <w:r w:rsidRPr="00A9598A">
              <w:rPr>
                <w:rFonts w:ascii="Cambria" w:hAnsi="Cambria"/>
                <w:b/>
                <w:bCs/>
                <w:color w:val="auto"/>
                <w:kern w:val="0"/>
                <w:sz w:val="19"/>
                <w:szCs w:val="22"/>
                <w:lang w:eastAsia="en-US"/>
              </w:rPr>
              <w:t>Vienam izglītojamajam nepieciešamās vidējās izmaksas mēnesī ( no pusotra gada līdz 4 gadu vecumam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3969" w:type="dxa"/>
            <w:shd w:val="clear" w:color="auto" w:fill="auto"/>
          </w:tcPr>
          <w:p w:rsidR="004C2A66" w:rsidRPr="00A9598A" w:rsidRDefault="004C2A66" w:rsidP="003A09BA">
            <w:pPr>
              <w:autoSpaceDE w:val="0"/>
              <w:autoSpaceDN w:val="0"/>
              <w:adjustRightInd w:val="0"/>
              <w:jc w:val="left"/>
              <w:rPr>
                <w:rFonts w:ascii="Cambria" w:hAnsi="Cambria"/>
                <w:b/>
                <w:bCs/>
                <w:color w:val="auto"/>
                <w:kern w:val="0"/>
                <w:sz w:val="19"/>
                <w:szCs w:val="22"/>
                <w:lang w:eastAsia="en-US"/>
              </w:rPr>
            </w:pPr>
            <w:r w:rsidRPr="00A9598A">
              <w:rPr>
                <w:rFonts w:ascii="Cambria" w:hAnsi="Cambria"/>
                <w:b/>
                <w:bCs/>
                <w:color w:val="auto"/>
                <w:kern w:val="0"/>
                <w:sz w:val="19"/>
                <w:szCs w:val="22"/>
                <w:lang w:eastAsia="en-US"/>
              </w:rPr>
              <w:t>Vienam izglītojamajam nepieciešamās vidējās izmaksas mēnesī (5–6 gadus veciem bērniem)</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r w:rsidR="004C2A66" w:rsidRPr="00A9598A" w:rsidTr="003A09BA">
        <w:tc>
          <w:tcPr>
            <w:tcW w:w="1413" w:type="dxa"/>
            <w:shd w:val="clear" w:color="auto" w:fill="auto"/>
          </w:tcPr>
          <w:p w:rsidR="004C2A66" w:rsidRPr="00A9598A" w:rsidRDefault="004C2A66" w:rsidP="003A09BA">
            <w:pPr>
              <w:autoSpaceDE w:val="0"/>
              <w:autoSpaceDN w:val="0"/>
              <w:adjustRightInd w:val="0"/>
              <w:rPr>
                <w:rFonts w:ascii="Cambria" w:hAnsi="Cambria"/>
                <w:color w:val="auto"/>
                <w:kern w:val="0"/>
                <w:sz w:val="19"/>
                <w:szCs w:val="22"/>
                <w:lang w:eastAsia="en-US"/>
              </w:rPr>
            </w:pPr>
          </w:p>
        </w:tc>
        <w:tc>
          <w:tcPr>
            <w:tcW w:w="3969" w:type="dxa"/>
            <w:shd w:val="clear" w:color="auto" w:fill="auto"/>
          </w:tcPr>
          <w:p w:rsidR="004C2A66" w:rsidRPr="00A9598A" w:rsidRDefault="004C2A66" w:rsidP="003A09BA">
            <w:pPr>
              <w:autoSpaceDE w:val="0"/>
              <w:autoSpaceDN w:val="0"/>
              <w:adjustRightInd w:val="0"/>
              <w:jc w:val="left"/>
              <w:rPr>
                <w:rFonts w:ascii="Cambria" w:hAnsi="Cambria"/>
                <w:color w:val="auto"/>
                <w:kern w:val="0"/>
                <w:sz w:val="19"/>
                <w:szCs w:val="22"/>
                <w:lang w:eastAsia="en-US"/>
              </w:rPr>
            </w:pPr>
            <w:r w:rsidRPr="00A9598A">
              <w:rPr>
                <w:rFonts w:ascii="Cambria" w:hAnsi="Cambria"/>
                <w:b/>
                <w:bCs/>
                <w:color w:val="auto"/>
                <w:kern w:val="0"/>
                <w:sz w:val="19"/>
                <w:szCs w:val="22"/>
                <w:lang w:eastAsia="en-US"/>
              </w:rPr>
              <w:t xml:space="preserve">Eiropas Struktūrfondu projektu finansējuma izmaksas </w:t>
            </w:r>
          </w:p>
        </w:tc>
        <w:tc>
          <w:tcPr>
            <w:tcW w:w="1134"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559"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c>
          <w:tcPr>
            <w:tcW w:w="1701" w:type="dxa"/>
            <w:shd w:val="clear" w:color="auto" w:fill="auto"/>
          </w:tcPr>
          <w:p w:rsidR="004C2A66" w:rsidRPr="00A9598A" w:rsidRDefault="004C2A66" w:rsidP="003A09BA">
            <w:pPr>
              <w:autoSpaceDE w:val="0"/>
              <w:autoSpaceDN w:val="0"/>
              <w:adjustRightInd w:val="0"/>
              <w:rPr>
                <w:rFonts w:ascii="Cambria" w:hAnsi="Cambria"/>
                <w:b/>
                <w:bCs/>
                <w:color w:val="auto"/>
                <w:kern w:val="0"/>
                <w:sz w:val="19"/>
                <w:szCs w:val="22"/>
                <w:lang w:eastAsia="en-US"/>
              </w:rPr>
            </w:pPr>
          </w:p>
        </w:tc>
      </w:tr>
    </w:tbl>
    <w:p w:rsidR="004C2A66" w:rsidRPr="00A9598A" w:rsidRDefault="004C2A66" w:rsidP="004C2A66">
      <w:pPr>
        <w:autoSpaceDE w:val="0"/>
        <w:autoSpaceDN w:val="0"/>
        <w:adjustRightInd w:val="0"/>
        <w:spacing w:before="130" w:line="260" w:lineRule="exact"/>
        <w:jc w:val="left"/>
        <w:rPr>
          <w:rFonts w:ascii="Cambria" w:hAnsi="Cambria"/>
          <w:i/>
          <w:iCs/>
          <w:color w:val="auto"/>
          <w:kern w:val="0"/>
          <w:sz w:val="19"/>
          <w:szCs w:val="22"/>
        </w:rPr>
      </w:pPr>
      <w:r w:rsidRPr="00A9598A">
        <w:rPr>
          <w:rFonts w:ascii="Cambria" w:hAnsi="Cambria"/>
          <w:i/>
          <w:iCs/>
          <w:color w:val="auto"/>
          <w:kern w:val="0"/>
          <w:sz w:val="19"/>
          <w:szCs w:val="22"/>
        </w:rPr>
        <w:t>Apliecinu, ka tāmē iekļautie izdevumi ir veikti izmaksu periodā, tie atbilst normatīvajiem aktiem par izmaksu ekonomisko klasifikāciju, norādītā informācija ir patiesa , aprēķins sakrīt ar iestādes gada</w:t>
      </w:r>
      <w:r>
        <w:rPr>
          <w:rFonts w:ascii="Cambria" w:hAnsi="Cambria"/>
          <w:i/>
          <w:iCs/>
          <w:color w:val="auto"/>
          <w:kern w:val="0"/>
          <w:sz w:val="19"/>
          <w:szCs w:val="22"/>
        </w:rPr>
        <w:t xml:space="preserve"> </w:t>
      </w:r>
      <w:r w:rsidRPr="00A9598A">
        <w:rPr>
          <w:rFonts w:ascii="Cambria" w:hAnsi="Cambria"/>
          <w:i/>
          <w:iCs/>
          <w:color w:val="auto"/>
          <w:kern w:val="0"/>
          <w:sz w:val="19"/>
          <w:szCs w:val="22"/>
        </w:rPr>
        <w:t xml:space="preserve">pārskata datiem, </w:t>
      </w:r>
      <w:bookmarkStart w:id="0" w:name="_GoBack"/>
      <w:bookmarkEnd w:id="0"/>
      <w:r w:rsidRPr="00A9598A">
        <w:rPr>
          <w:rFonts w:ascii="Cambria" w:hAnsi="Cambria"/>
          <w:i/>
          <w:iCs/>
          <w:color w:val="auto"/>
          <w:kern w:val="0"/>
          <w:sz w:val="19"/>
          <w:szCs w:val="22"/>
        </w:rPr>
        <w:t>kas iesniegti Valsts ieņēmumu dienestā</w:t>
      </w:r>
    </w:p>
    <w:p w:rsidR="004C2A66" w:rsidRPr="00A9598A" w:rsidRDefault="004C2A66" w:rsidP="004C2A66">
      <w:pPr>
        <w:autoSpaceDE w:val="0"/>
        <w:autoSpaceDN w:val="0"/>
        <w:adjustRightInd w:val="0"/>
        <w:spacing w:before="130" w:line="260" w:lineRule="exact"/>
        <w:ind w:firstLine="539"/>
        <w:rPr>
          <w:rFonts w:ascii="Cambria" w:hAnsi="Cambria"/>
          <w:color w:val="auto"/>
          <w:kern w:val="0"/>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815"/>
        <w:gridCol w:w="2934"/>
        <w:gridCol w:w="2557"/>
      </w:tblGrid>
      <w:tr w:rsidR="004C2A66" w:rsidRPr="00A9598A" w:rsidTr="003A09BA">
        <w:tc>
          <w:tcPr>
            <w:tcW w:w="3193" w:type="dxa"/>
            <w:shd w:val="clear" w:color="auto" w:fill="auto"/>
            <w:vAlign w:val="bottom"/>
          </w:tcPr>
          <w:p w:rsidR="004C2A66" w:rsidRPr="00A9598A" w:rsidRDefault="004C2A66" w:rsidP="003A09BA">
            <w:pPr>
              <w:autoSpaceDE w:val="0"/>
              <w:autoSpaceDN w:val="0"/>
              <w:adjustRightInd w:val="0"/>
              <w:jc w:val="left"/>
              <w:rPr>
                <w:rFonts w:ascii="Cambria" w:hAnsi="Cambria"/>
                <w:color w:val="auto"/>
                <w:kern w:val="0"/>
                <w:sz w:val="19"/>
                <w:szCs w:val="24"/>
              </w:rPr>
            </w:pPr>
            <w:r w:rsidRPr="00A9598A">
              <w:rPr>
                <w:rFonts w:ascii="Cambria" w:hAnsi="Cambria"/>
                <w:color w:val="auto"/>
                <w:kern w:val="0"/>
                <w:sz w:val="19"/>
                <w:szCs w:val="24"/>
              </w:rPr>
              <w:t>Datums</w:t>
            </w:r>
          </w:p>
        </w:tc>
        <w:tc>
          <w:tcPr>
            <w:tcW w:w="3498" w:type="dxa"/>
            <w:shd w:val="clear" w:color="auto" w:fill="auto"/>
            <w:vAlign w:val="bottom"/>
          </w:tcPr>
          <w:p w:rsidR="004C2A66" w:rsidRPr="00A9598A" w:rsidRDefault="004C2A66" w:rsidP="003A09BA">
            <w:pPr>
              <w:autoSpaceDE w:val="0"/>
              <w:autoSpaceDN w:val="0"/>
              <w:adjustRightInd w:val="0"/>
              <w:jc w:val="left"/>
              <w:rPr>
                <w:rFonts w:ascii="Cambria" w:hAnsi="Cambria"/>
                <w:color w:val="auto"/>
                <w:kern w:val="0"/>
                <w:sz w:val="19"/>
                <w:szCs w:val="24"/>
              </w:rPr>
            </w:pPr>
          </w:p>
        </w:tc>
        <w:tc>
          <w:tcPr>
            <w:tcW w:w="2890" w:type="dxa"/>
            <w:shd w:val="clear" w:color="auto" w:fill="auto"/>
            <w:vAlign w:val="bottom"/>
          </w:tcPr>
          <w:p w:rsidR="004C2A66" w:rsidRPr="00A9598A" w:rsidRDefault="004C2A66" w:rsidP="003A09BA">
            <w:pPr>
              <w:autoSpaceDE w:val="0"/>
              <w:autoSpaceDN w:val="0"/>
              <w:adjustRightInd w:val="0"/>
              <w:jc w:val="left"/>
              <w:rPr>
                <w:rFonts w:ascii="Cambria" w:hAnsi="Cambria"/>
                <w:color w:val="auto"/>
                <w:kern w:val="0"/>
                <w:sz w:val="19"/>
                <w:szCs w:val="24"/>
              </w:rPr>
            </w:pPr>
          </w:p>
        </w:tc>
      </w:tr>
      <w:tr w:rsidR="004C2A66" w:rsidRPr="00A9598A" w:rsidTr="003A09BA">
        <w:tc>
          <w:tcPr>
            <w:tcW w:w="3193" w:type="dxa"/>
            <w:shd w:val="clear" w:color="auto" w:fill="auto"/>
            <w:vAlign w:val="bottom"/>
          </w:tcPr>
          <w:p w:rsidR="004C2A66" w:rsidRPr="00A9598A" w:rsidRDefault="004C2A66" w:rsidP="003A09BA">
            <w:pPr>
              <w:autoSpaceDE w:val="0"/>
              <w:autoSpaceDN w:val="0"/>
              <w:adjustRightInd w:val="0"/>
              <w:jc w:val="left"/>
              <w:rPr>
                <w:rFonts w:ascii="Cambria" w:hAnsi="Cambria"/>
                <w:color w:val="auto"/>
                <w:kern w:val="0"/>
                <w:sz w:val="19"/>
                <w:szCs w:val="24"/>
              </w:rPr>
            </w:pPr>
            <w:r w:rsidRPr="00A9598A">
              <w:rPr>
                <w:rFonts w:ascii="Cambria" w:hAnsi="Cambria"/>
                <w:color w:val="auto"/>
                <w:kern w:val="0"/>
                <w:sz w:val="19"/>
                <w:szCs w:val="24"/>
              </w:rPr>
              <w:t>Dibinātāja paraksta tiesīgā persona</w:t>
            </w:r>
          </w:p>
        </w:tc>
        <w:tc>
          <w:tcPr>
            <w:tcW w:w="3498" w:type="dxa"/>
            <w:tcBorders>
              <w:bottom w:val="single" w:sz="4" w:space="0" w:color="auto"/>
            </w:tcBorders>
            <w:shd w:val="clear" w:color="auto" w:fill="auto"/>
            <w:vAlign w:val="bottom"/>
          </w:tcPr>
          <w:p w:rsidR="004C2A66" w:rsidRPr="00A9598A" w:rsidRDefault="004C2A66" w:rsidP="003A09BA">
            <w:pPr>
              <w:autoSpaceDE w:val="0"/>
              <w:autoSpaceDN w:val="0"/>
              <w:adjustRightInd w:val="0"/>
              <w:jc w:val="left"/>
              <w:rPr>
                <w:rFonts w:ascii="Cambria" w:hAnsi="Cambria"/>
                <w:color w:val="auto"/>
                <w:kern w:val="0"/>
                <w:sz w:val="19"/>
                <w:szCs w:val="24"/>
              </w:rPr>
            </w:pPr>
          </w:p>
        </w:tc>
        <w:tc>
          <w:tcPr>
            <w:tcW w:w="2890" w:type="dxa"/>
            <w:shd w:val="clear" w:color="auto" w:fill="auto"/>
            <w:vAlign w:val="bottom"/>
          </w:tcPr>
          <w:p w:rsidR="004C2A66" w:rsidRPr="00A9598A" w:rsidRDefault="004C2A66" w:rsidP="003A09BA">
            <w:pPr>
              <w:autoSpaceDE w:val="0"/>
              <w:autoSpaceDN w:val="0"/>
              <w:adjustRightInd w:val="0"/>
              <w:jc w:val="left"/>
              <w:rPr>
                <w:rFonts w:ascii="Cambria" w:hAnsi="Cambria"/>
                <w:color w:val="auto"/>
                <w:kern w:val="0"/>
                <w:sz w:val="19"/>
                <w:szCs w:val="24"/>
              </w:rPr>
            </w:pPr>
            <w:r w:rsidRPr="00A9598A">
              <w:rPr>
                <w:rFonts w:ascii="Cambria" w:hAnsi="Cambria"/>
                <w:color w:val="auto"/>
                <w:kern w:val="0"/>
                <w:sz w:val="19"/>
                <w:szCs w:val="24"/>
              </w:rPr>
              <w:t>(paraksts, vārds, uzvārds, amats)</w:t>
            </w:r>
          </w:p>
        </w:tc>
      </w:tr>
    </w:tbl>
    <w:p w:rsidR="004C2A66" w:rsidRPr="00A9598A" w:rsidRDefault="004C2A66" w:rsidP="004C2A66">
      <w:pPr>
        <w:autoSpaceDE w:val="0"/>
        <w:autoSpaceDN w:val="0"/>
        <w:adjustRightInd w:val="0"/>
        <w:spacing w:before="130" w:line="260" w:lineRule="exact"/>
        <w:ind w:firstLine="539"/>
        <w:rPr>
          <w:rFonts w:ascii="Cambria" w:hAnsi="Cambria"/>
          <w:color w:val="auto"/>
          <w:kern w:val="0"/>
          <w:sz w:val="19"/>
          <w:szCs w:val="24"/>
        </w:rPr>
      </w:pPr>
    </w:p>
    <w:p w:rsidR="00711EB7" w:rsidRDefault="004C2A66"/>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66"/>
    <w:rsid w:val="000754BB"/>
    <w:rsid w:val="004C2A66"/>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3BA7E-5761-44C0-B7A6-14FFDED1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66"/>
    <w:pPr>
      <w:spacing w:after="0" w:line="240" w:lineRule="auto"/>
      <w:jc w:val="both"/>
    </w:pPr>
    <w:rPr>
      <w:rFonts w:ascii="Times New Roman" w:eastAsia="Times New Roman" w:hAnsi="Times New Roman" w:cs="Times New Roman"/>
      <w:color w:val="000000"/>
      <w:kern w:val="28"/>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2323</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2021-10-21T07:36:00Z</dcterms:created>
  <dcterms:modified xsi:type="dcterms:W3CDTF">2021-10-21T07:38:00Z</dcterms:modified>
</cp:coreProperties>
</file>