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9E2E" w14:textId="4843F2C2" w:rsidR="009B27BE" w:rsidRPr="008D573E" w:rsidRDefault="00CA28AB" w:rsidP="002C70D0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73E">
        <w:rPr>
          <w:rFonts w:ascii="Times New Roman" w:hAnsi="Times New Roman" w:cs="Times New Roman"/>
          <w:b/>
          <w:bCs/>
          <w:sz w:val="24"/>
          <w:szCs w:val="24"/>
        </w:rPr>
        <w:t xml:space="preserve">Latvijas Bankas noteikumu projekta </w:t>
      </w:r>
      <w:r w:rsidR="00497302">
        <w:rPr>
          <w:rFonts w:ascii="Times New Roman" w:hAnsi="Times New Roman" w:cs="Times New Roman"/>
          <w:b/>
          <w:bCs/>
          <w:sz w:val="24"/>
          <w:szCs w:val="24"/>
        </w:rPr>
        <w:br/>
        <w:t>"</w:t>
      </w:r>
      <w:r w:rsidR="00497302" w:rsidRPr="008D573E">
        <w:rPr>
          <w:rFonts w:ascii="Times New Roman" w:hAnsi="Times New Roman" w:cs="Times New Roman"/>
          <w:b/>
          <w:bCs/>
          <w:sz w:val="24"/>
          <w:szCs w:val="24"/>
        </w:rPr>
        <w:t>Pārskata par segtajiem noguldījumiem sagatavošanas un maksājumu noguldījumu garantiju fondā aprēķināšanas noteikumi</w:t>
      </w:r>
      <w:r w:rsidR="00497302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B481B" w:rsidRPr="008D573E">
        <w:rPr>
          <w:rFonts w:ascii="Times New Roman" w:hAnsi="Times New Roman" w:cs="Times New Roman"/>
          <w:b/>
          <w:bCs/>
          <w:sz w:val="24"/>
          <w:szCs w:val="24"/>
        </w:rPr>
        <w:t xml:space="preserve"> anotācija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9"/>
      </w:tblGrid>
      <w:tr w:rsidR="000B4E0A" w:rsidRPr="008D573E" w14:paraId="075756D3" w14:textId="77777777" w:rsidTr="00E253DA">
        <w:trPr>
          <w:trHeight w:val="567"/>
        </w:trPr>
        <w:tc>
          <w:tcPr>
            <w:tcW w:w="1796" w:type="pct"/>
            <w:hideMark/>
          </w:tcPr>
          <w:p w14:paraId="11AED29D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  <w:p w14:paraId="6C10B54A" w14:textId="056F1615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alias w:val="Nosaukums"/>
              <w:tag w:val="Nosaukums"/>
              <w:id w:val="25447728"/>
              <w:placeholder>
                <w:docPart w:val="4F2A10541D5B4783A11F0109B9AC55D1"/>
              </w:placeholder>
            </w:sdtPr>
            <w:sdtEndPr/>
            <w:sdtContent>
              <w:p w14:paraId="5807C367" w14:textId="6B149936" w:rsidR="00E53DE9" w:rsidRPr="008D573E" w:rsidRDefault="00445325" w:rsidP="00A316CF">
                <w:pPr>
                  <w:spacing w:after="120" w:line="240" w:lineRule="auto"/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8D573E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Pārskata par segtajiem noguldījumiem sagatavošanas un maksājumu noguldījumu garantiju fondā aprēķināšanas noteikumi</w:t>
                </w:r>
              </w:p>
            </w:sdtContent>
          </w:sdt>
        </w:tc>
      </w:tr>
      <w:tr w:rsidR="000B4E0A" w:rsidRPr="008D573E" w14:paraId="79017AD3" w14:textId="77777777" w:rsidTr="00E253DA">
        <w:trPr>
          <w:trHeight w:val="567"/>
        </w:trPr>
        <w:tc>
          <w:tcPr>
            <w:tcW w:w="1796" w:type="pct"/>
            <w:hideMark/>
          </w:tcPr>
          <w:p w14:paraId="788E8EA1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Dokumenta veids</w:t>
            </w:r>
          </w:p>
          <w:p w14:paraId="3CAA80CE" w14:textId="7AD2803D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741C3E1B" w14:textId="647552D2" w:rsidR="00E53DE9" w:rsidRPr="008D573E" w:rsidRDefault="00392C95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Latvijas Bankas n</w:t>
            </w:r>
            <w:r w:rsidR="0096049E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oteikumi</w:t>
            </w:r>
          </w:p>
        </w:tc>
      </w:tr>
      <w:tr w:rsidR="000B4E0A" w:rsidRPr="008D573E" w14:paraId="382B475A" w14:textId="77777777" w:rsidTr="00E253DA">
        <w:trPr>
          <w:trHeight w:val="567"/>
        </w:trPr>
        <w:tc>
          <w:tcPr>
            <w:tcW w:w="1796" w:type="pct"/>
            <w:hideMark/>
          </w:tcPr>
          <w:p w14:paraId="53CE2E8C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Izdošanas pamatojums </w:t>
            </w:r>
          </w:p>
          <w:p w14:paraId="65BC8074" w14:textId="1002BB0A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0B98D083" w14:textId="4D16DC11" w:rsidR="00E53DE9" w:rsidRPr="008D573E" w:rsidRDefault="0096049E" w:rsidP="00B424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Noguldījumu garantiju likuma </w:t>
            </w:r>
            <w:r w:rsidR="008C3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(turpmāk – Likums) </w:t>
            </w:r>
            <w:r w:rsidR="00B424C4" w:rsidRP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8.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B424C4" w:rsidRP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devīt</w:t>
            </w:r>
            <w:r w:rsid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="00B424C4" w:rsidRP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daļ</w:t>
            </w:r>
            <w:r w:rsid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="00B424C4" w:rsidRPr="00B42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</w:t>
            </w:r>
            <w:r w:rsidR="00B424C4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11.</w:t>
            </w:r>
            <w:r w:rsidR="00C356DE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panta </w:t>
            </w:r>
            <w:r w:rsidR="00E76FC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  <w:r w:rsidR="00C356DE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E76FC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punkts</w:t>
            </w:r>
            <w:r w:rsidR="00B424C4">
              <w:t xml:space="preserve"> </w:t>
            </w:r>
          </w:p>
        </w:tc>
      </w:tr>
      <w:tr w:rsidR="000B4E0A" w:rsidRPr="008D573E" w14:paraId="037D3A75" w14:textId="77777777" w:rsidTr="00E253DA">
        <w:trPr>
          <w:trHeight w:val="567"/>
        </w:trPr>
        <w:tc>
          <w:tcPr>
            <w:tcW w:w="1796" w:type="pct"/>
            <w:hideMark/>
          </w:tcPr>
          <w:p w14:paraId="5268AAB5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Mērķis un būtība</w:t>
            </w:r>
          </w:p>
          <w:p w14:paraId="0994D4B4" w14:textId="77777777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6DD46DF3" w14:textId="77777777" w:rsidR="00832DDB" w:rsidRPr="008D573E" w:rsidRDefault="00832DD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6F5D11F2" w14:textId="2DB0AC72" w:rsidR="00832DDB" w:rsidRPr="008D573E" w:rsidRDefault="00832DD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30C57A54" w14:textId="46FEC874" w:rsidR="00FD56EF" w:rsidRDefault="00D95907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Saskaņā ar Noguldījumu garantiju likuma 11.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1. un 2.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punktā ietverto deleģējumu 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2023.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18.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decembr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tika izdoti Latvijas Bankas 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Nr.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263 "Pārskata par segtajiem noguldījumiem sagatavošanas un maksājumu noguldījumu garantiju fondā aprēķināšanas noteikumi" (turpmāk 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oteikum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 Nr.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263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  <w:r w:rsidR="003363C6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4DA7C868" w14:textId="7BD6FE8B" w:rsidR="000504AD" w:rsidRDefault="00D95907" w:rsidP="000504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Atbilstoši 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likum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D56EF" w:rsidRP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"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Grozījumi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 garantiju likum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="00FD56EF" w:rsidRP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(Nr. 1285/Lp14)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kas </w:t>
            </w:r>
            <w:r w:rsidR="001434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stājās spēkā 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2026. gada </w:t>
            </w:r>
            <w:r w:rsidR="001434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26.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jūnijā,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(turpmāk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– 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Grozījumu 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ikum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) 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ietvertajiem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grozījumiem 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Likuma 9. panta pirmajā daļā </w:t>
            </w:r>
            <w:r w:rsidR="00F6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noteikt</w:t>
            </w:r>
            <w:r w:rsidR="00863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ka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noguldījumu garantiju fonda 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mērķapjom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D56EF" w:rsidRP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trīs procenti no noguldījumu garantiju fonda dalībnieku segto noguldījumu apmēra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  <w:p w14:paraId="4789D703" w14:textId="6331E9C4" w:rsidR="00D95907" w:rsidRDefault="00F671D7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Tāpat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ar 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Grozījumu likumu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veikt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grozījum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Likuma 8. panta trešajā un ceturtajā daļā (attiecībā uz ceturkšņa maksājumiem noguldījumu garantiju fondā)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papildināt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ar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devīt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daļ</w:t>
            </w:r>
            <w:r w:rsidR="00DC4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u, kas 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paredz deleģējum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Latvijas Bankai noteikt prasības procentu apmēra aprēķināšanai un piemērošanai 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ceturkšņa </w:t>
            </w:r>
            <w:r w:rsidR="000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maksājumiem noguldījumu garantiju fondā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kā arī 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izslē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D5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Likum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11.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1.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punkt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D95907" w:rsidRPr="00D95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tajā Latvijas Bankai 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noteikto deleģējumu 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ietverot Likuma 8.</w:t>
            </w:r>
            <w:r w:rsidR="00540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devītajā daļā.</w:t>
            </w:r>
          </w:p>
          <w:p w14:paraId="58B8EC1A" w14:textId="0CD496F3" w:rsidR="00EC7BA9" w:rsidRDefault="00EC7BA9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Ņemot vērā minēto, ir sagatavots Latvijas Bankas noteikumu projekts "Pārskata par segtajiem noguldījumiem sagatavošanas un maksājumu noguldījumu garantiju fondā aprēķināšanas noteikumi" (turpmāk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– noteikumu projekts), kas aizstās Noteikumus Nr.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263</w:t>
            </w:r>
            <w:r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kuri zaudēs spēku. </w:t>
            </w:r>
          </w:p>
          <w:p w14:paraId="1FDF9470" w14:textId="08F097E1" w:rsidR="00A561EB" w:rsidRDefault="00540A57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projektā noteikts, ka maksājumiem </w:t>
            </w:r>
            <w:r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 garantiju fondā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piemērojamo procentu apmēru</w:t>
            </w:r>
            <w:r w:rsidR="00A7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</w:t>
            </w:r>
            <w:r w:rsidRPr="00876932" w:rsidDel="00540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76318"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kas nepārsniegs 0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  <w:r w:rsidR="00A76318"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05</w:t>
            </w:r>
            <w:r w:rsidR="00A7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procentus,</w:t>
            </w:r>
            <w:r w:rsidR="00A76318" w:rsidRPr="00876932" w:rsidDel="00540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Latvijas Banka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aprēķinās </w:t>
            </w:r>
            <w:r w:rsid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reizi gadā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kā arī paredzēta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prasības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procentu apmēr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aprēķinā</w:t>
            </w:r>
            <w:r w:rsidR="00F15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šanai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 Aprēķinātais procentu apmērs</w:t>
            </w:r>
            <w:r w:rsidR="00A7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tiks piemērots </w:t>
            </w:r>
            <w:r w:rsidR="00B764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attiecīgā kalendārā gada katra 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ceturkšņa maksājumam noguldījumu garantiju fondā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  <w:p w14:paraId="52ED5239" w14:textId="10FF36DB" w:rsidR="00EC7BA9" w:rsidRDefault="004E6AE6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="00540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oteikumu projektā ir paredzēts, ka maksājumus noguldījumu garantiju fondā reizi ceturksnī aprēķinās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56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 xml:space="preserve">Latvijas Banka, kā arī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tā </w:t>
            </w:r>
            <w:r w:rsidR="00554AD8" w:rsidRP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sagatavo</w:t>
            </w:r>
            <w:r w:rsid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554AD8" w:rsidRP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nosūt</w:t>
            </w:r>
            <w:r w:rsid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</w:t>
            </w:r>
            <w:r w:rsidR="00554AD8" w:rsidRP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noguldījumu piesaistītājam rēķinu par aprēķināto maksājumu par katru kalendārā gada ceturksni līdz attiecīgajam ceturksnim sekojošā mēneša beigām</w:t>
            </w:r>
            <w:r w:rsid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  <w:r w:rsidR="00554AD8" w:rsidRPr="00EC7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6D6A6AC8" w14:textId="54814F8D" w:rsidR="002A6A82" w:rsidRDefault="002A6A82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Ņemot vērā to, ka </w:t>
            </w:r>
            <w:r w:rsidR="00A52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atbilstoši noteikumu projektā paredzētajam turpmāk maksājumus noguldījumu garantiju fondā aprēķinās Latvijas Banka, tad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 noteikumu projektu ir mainīta Noteikumu Nr. 263 1. pielikumā ietvertā pārskata par segtajiem noguldījumiem forma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svītrotas divas kolonnas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proti,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"06" – </w:t>
            </w:r>
            <w:r w:rsidRPr="00B0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Korekcijas koeficients β (%)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"07" – 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Maksājums noguldījumu garantiju fondā 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br/>
              <w:t>((05)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x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0.05 %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x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4A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(06))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kā arī mainīts pārskata nosaukums.</w:t>
            </w:r>
          </w:p>
          <w:p w14:paraId="35932FE5" w14:textId="5C66A60E" w:rsidR="00082628" w:rsidRDefault="00D95907" w:rsidP="005126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</w:t>
            </w:r>
            <w:r w:rsid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7B32C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precizēt</w:t>
            </w:r>
            <w:r w:rsid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as</w:t>
            </w:r>
            <w:r w:rsidR="0011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7B32C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tiesību normas 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 to rādītāju (kapitāla rādītāj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likviditātes rādītāj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lielo riska darījumu rādītāj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 un 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kredītportfeļa kvalitātes rādītāj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 noteikšanu, kur</w:t>
            </w:r>
            <w:r w:rsidR="00AD426E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izmanto</w:t>
            </w:r>
            <w:r w:rsidR="00AD426E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jami</w:t>
            </w:r>
            <w:r w:rsidR="00CB71A0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E3F6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kredītiestāžu</w:t>
            </w:r>
            <w:r w:rsidR="007B32C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maksājumam noguldījumu garantiju fondā piemērojamā korekcijas koeficienta aprēķināšanai.</w:t>
            </w:r>
            <w:r w:rsidR="00465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projektā ietvertas tehniskas izmaiņas, kas nepieciešamas, lai nodrošinātu atbilstību Komisijas 2024.</w:t>
            </w:r>
            <w:r w:rsid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29.</w:t>
            </w:r>
            <w:r w:rsid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novembra īstenošanas regulai (ES)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2024/3117, </w:t>
            </w:r>
            <w:r w:rsidR="005126EC" w:rsidRP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ko nosaka īstenošanas tehniskos standartus Eiropas Parlamenta un Padomes </w:t>
            </w:r>
            <w:r w:rsid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</w:t>
            </w:r>
            <w:r w:rsidR="005126EC" w:rsidRP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egulas (ES) Nr.</w:t>
            </w:r>
            <w:r w:rsid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5126EC" w:rsidRP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575/2013 piemērošanai attiecībā uz iestāžu sniegtajiem uzraudzības pārskatiem un atceļ Komisijas 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</w:t>
            </w:r>
            <w:r w:rsidR="005126EC" w:rsidRP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stenošanas regulu (ES)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5126EC" w:rsidRPr="00512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2021/451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(turpmāk – Īstenošanas regula </w:t>
            </w:r>
            <w:r w:rsidR="00797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Nr. 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2024/3117)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Īstenošanas regulu Nr. 2024/3117 ir atcelta 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Komisijas 2020.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17.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decembra īstenošanas regula (ES)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2021/451, ar ko nosaka īstenošanas tehniskos standartus Eiropas Parlamenta un Padomes regulas (ES) Nr.</w:t>
            </w:r>
            <w:r w:rsidR="005C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575/2013 piemērošanai attiecībā uz iestāžu sniegtajiem uzraudzības pārskatiem un atceļ īstenošanas regulu (ES) Nr.</w:t>
            </w:r>
            <w:r w:rsidR="005C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680/0214 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(turpmāk – 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Īstenošanas regula Nr.</w:t>
            </w:r>
            <w:r w:rsidR="005C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2021/451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). 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Ņemot vērā to, ka 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Īstenošanas regulā </w:t>
            </w:r>
            <w:r w:rsidR="00797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Nr. 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2024/3117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salīdzinājumā 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Īstenošanas regul</w:t>
            </w:r>
            <w:r w:rsid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="001E3E6A" w:rsidRPr="001E3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Nr. 2021/451</w:t>
            </w:r>
            <w:r w:rsidR="00C62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 mainīta struktūra,</w:t>
            </w:r>
            <w:r w:rsidR="003D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ir nepieciešams precizēt </w:t>
            </w:r>
            <w:r w:rsidR="002A6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oteikumos Nr.</w:t>
            </w:r>
            <w:r w:rsidR="00B31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263 ietvertās atsauces uz attiecīgajām regulas </w:t>
            </w:r>
            <w:r w:rsidR="00797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vienīb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ām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6242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precizējot tiesību normas, </w:t>
            </w:r>
            <w:r w:rsidR="00082628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kuras tiek izmantotas kredītiestāžu korekcijas koeficienta aprēķināšanai.</w:t>
            </w:r>
          </w:p>
          <w:p w14:paraId="57CD4B8C" w14:textId="7EA241AC" w:rsidR="005E51E2" w:rsidRDefault="005E51E2" w:rsidP="005126E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projektā ietvert</w:t>
            </w:r>
            <w:r w:rsidR="00B764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tehniski precizējumi </w:t>
            </w:r>
            <w:r w:rsidR="00B764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tiesību normās, kas attiecas uz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krājaizdevu sabiedrību </w:t>
            </w:r>
            <w:r w:rsidR="00B764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maksājumiem noguldījumu garantiju fondā piemērojamo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korekcijas koeficient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aprēķināšan</w:t>
            </w:r>
            <w:r w:rsidR="00B764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ņemot vērā izmaiņas Latvijas Bankas noteikumos par k</w:t>
            </w:r>
            <w:r w:rsidRPr="005E5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rājaizdevu sabiedrību darbību raksturojošo rādītāju aprēķināšan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Pr="005E5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pārskatu sagatavošan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u.</w:t>
            </w:r>
          </w:p>
          <w:p w14:paraId="72DECBA8" w14:textId="68FD56E0" w:rsidR="002A6A82" w:rsidRDefault="009E4FBF" w:rsidP="000826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Tāpat noteikumu projektā ietverts tehnisks precizējums saistībā ar nebanku statistikas sistēmas nosaukuma maiņu 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pret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elektronisko pārskatu sistēmu</w:t>
            </w:r>
            <w:r w:rsidR="002A6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FF318A7" w14:textId="69D8B0D0" w:rsidR="007529C8" w:rsidRDefault="00082628" w:rsidP="000826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Tādējādi noteikumu projekts nodrošina normatīvā</w:t>
            </w:r>
            <w:r w:rsidR="0029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akta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tehnisku saskaņošanu ar spēkā esošo Eiropas Savienības regulējumu</w:t>
            </w:r>
            <w:r w:rsidR="009E4FB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9E4F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un Latvijas Bankas noteikumiem, kuri regulē elektronisko informācijas apmaiņu ar Latvijas Banku</w:t>
            </w:r>
            <w:r w:rsidR="00A5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</w:t>
            </w:r>
            <w:r w:rsidR="001C1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1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kā arī Latvijas Bankas noteikumiem, kuri regulē</w:t>
            </w:r>
            <w:r w:rsidR="00A5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k</w:t>
            </w:r>
            <w:r w:rsidR="00A50921" w:rsidRPr="005E5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rājaizdevu sabiedrību darbību raksturojošo rādītāju aprēķināšan</w:t>
            </w:r>
            <w:r w:rsidR="00A5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="00A50921" w:rsidRPr="005E5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pārskatu sagatavošan</w:t>
            </w:r>
            <w:r w:rsidR="00A5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="0011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  <w:p w14:paraId="60867157" w14:textId="10501379" w:rsidR="001F084C" w:rsidRPr="008D573E" w:rsidRDefault="001F084C" w:rsidP="000826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projekts arī paredz </w:t>
            </w:r>
            <w:r w:rsidR="00D9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informēšanas par aprēķināto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korekcijas koeficient</w:t>
            </w:r>
            <w:r w:rsidR="00D9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datuma izmaiņas, ņemot vērā kredītiestāžu un krājaizdevu sabiedrību auditēto pārskatu iesniegšanas termiņus.</w:t>
            </w:r>
          </w:p>
        </w:tc>
      </w:tr>
      <w:tr w:rsidR="000B4E0A" w:rsidRPr="008D573E" w14:paraId="5E047A73" w14:textId="77777777" w:rsidTr="00E253DA">
        <w:trPr>
          <w:trHeight w:val="567"/>
        </w:trPr>
        <w:tc>
          <w:tcPr>
            <w:tcW w:w="1796" w:type="pct"/>
            <w:hideMark/>
          </w:tcPr>
          <w:p w14:paraId="392312D0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Leģitīmais mērķis</w:t>
            </w:r>
          </w:p>
          <w:p w14:paraId="76383DF1" w14:textId="1469C7CF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66AD4387" w14:textId="61D4BA25" w:rsidR="000D7719" w:rsidRPr="008D573E" w:rsidRDefault="00E2144D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Noteikumu projekta leģitīmais mērķis ir citu personu tiesību un sabiedrības labklājības </w:t>
            </w:r>
            <w:r w:rsidR="007C3623" w:rsidRPr="008D573E">
              <w:rPr>
                <w:rFonts w:ascii="Times New Roman" w:hAnsi="Times New Roman" w:cs="Times New Roman"/>
                <w:sz w:val="24"/>
                <w:szCs w:val="24"/>
              </w:rPr>
              <w:t>aizsardzība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. Minēt</w:t>
            </w:r>
            <w:r w:rsidR="00EE3E74" w:rsidRPr="008D573E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leģitīm</w:t>
            </w:r>
            <w:r w:rsidR="00EE3E74" w:rsidRPr="008D573E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mērķi</w:t>
            </w:r>
            <w:r w:rsidR="00EE3E74" w:rsidRPr="008D57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tiek sasniegt</w:t>
            </w:r>
            <w:r w:rsidR="00EE3E74" w:rsidRPr="008D57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, nodrošinot</w:t>
            </w:r>
            <w:r w:rsidR="004938E5" w:rsidRPr="008D573E">
              <w:rPr>
                <w:rFonts w:ascii="Times New Roman" w:hAnsi="Times New Roman" w:cs="Times New Roman"/>
                <w:sz w:val="24"/>
                <w:szCs w:val="24"/>
              </w:rPr>
              <w:t>, ka</w:t>
            </w:r>
            <w:r w:rsidR="000055BD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2F1" w:rsidRPr="008D573E">
              <w:rPr>
                <w:rFonts w:ascii="Times New Roman" w:hAnsi="Times New Roman" w:cs="Times New Roman"/>
                <w:sz w:val="24"/>
                <w:szCs w:val="24"/>
              </w:rPr>
              <w:t>noguldījumu garantiju fonda dalībnieki</w:t>
            </w:r>
            <w:r w:rsidR="002D562A" w:rsidRPr="008D573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055BD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noteikumu projektā paredzētajā</w:t>
            </w:r>
            <w:r w:rsidR="002D562A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kārtībā</w:t>
            </w:r>
            <w:r w:rsidR="000055BD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BD1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tiek </w:t>
            </w:r>
            <w:r w:rsidR="00DE42F1" w:rsidRPr="008D573E">
              <w:rPr>
                <w:rFonts w:ascii="Times New Roman" w:hAnsi="Times New Roman" w:cs="Times New Roman"/>
                <w:sz w:val="24"/>
                <w:szCs w:val="24"/>
              </w:rPr>
              <w:t>aprēķin</w:t>
            </w:r>
            <w:r w:rsidR="00F91BD1" w:rsidRPr="008D573E">
              <w:rPr>
                <w:rFonts w:ascii="Times New Roman" w:hAnsi="Times New Roman" w:cs="Times New Roman"/>
                <w:sz w:val="24"/>
                <w:szCs w:val="24"/>
              </w:rPr>
              <w:t>āts</w:t>
            </w:r>
            <w:r w:rsidR="00932E5B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DDA" w:rsidRP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maksājum</w:t>
            </w:r>
            <w:r w:rsidR="00186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="00186DDA" w:rsidRPr="00554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noguldījumu garantiju fondā</w:t>
            </w:r>
            <w:r w:rsidR="00186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apmērs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tai skaitā</w:t>
            </w:r>
            <w:r w:rsidR="00186DDA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E5B" w:rsidRPr="008D573E">
              <w:rPr>
                <w:rFonts w:ascii="Times New Roman" w:hAnsi="Times New Roman" w:cs="Times New Roman"/>
                <w:sz w:val="24"/>
                <w:szCs w:val="24"/>
              </w:rPr>
              <w:t>maksājum</w:t>
            </w:r>
            <w:r w:rsidR="002D562A" w:rsidRPr="008D573E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932E5B"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E5B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 garantiju fondā</w:t>
            </w:r>
            <w:r w:rsidR="002D562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piemērojam</w:t>
            </w:r>
            <w:r w:rsidR="00F91BD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ais</w:t>
            </w:r>
            <w:r w:rsidR="002D562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korekcijas koeficient</w:t>
            </w:r>
            <w:r w:rsidR="00F91BD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1F0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procentu apmērs</w:t>
            </w:r>
            <w:r w:rsidR="00DE42F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0B4E0A" w:rsidRPr="008D573E" w14:paraId="039121D7" w14:textId="77777777" w:rsidTr="00E253DA">
        <w:trPr>
          <w:trHeight w:val="567"/>
        </w:trPr>
        <w:tc>
          <w:tcPr>
            <w:tcW w:w="1796" w:type="pct"/>
            <w:hideMark/>
          </w:tcPr>
          <w:p w14:paraId="2EABB69F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Samērīgums</w:t>
            </w:r>
          </w:p>
          <w:p w14:paraId="6CDA7E8B" w14:textId="11957B66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2D15FCF3" w14:textId="315E6089" w:rsidR="00FD4D7F" w:rsidRPr="008D573E" w:rsidRDefault="00FD4D7F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 izvērtētu, vai pieņemtā tiesību norma atbilst samērīguma principam, jānoskaidro: pirmkārt, vai lietotie līdzekļi ir piemēroti leģitīm</w:t>
            </w:r>
            <w:r w:rsidR="0021010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mērķa sasniegšanai; otrkārt, vai šāda rīcība ir nepieciešama, t.</w:t>
            </w:r>
            <w:r w:rsidR="00A316C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i., vai mērķi nevar sasniegt ar citiem, indivīda tiesības un likumiskās intereses mazāk ierobežojošiem līdzekļiem; treškārt, vai </w:t>
            </w:r>
            <w:r w:rsidR="0005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normatīvā akta izdevēja</w:t>
            </w:r>
            <w:r w:rsidR="0005248C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darbība ir samērīga jeb atbilstoša, t.</w:t>
            </w:r>
            <w:r w:rsidR="00A316C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i., vai labums, ko iegūs sabiedrība, ir lielāks par indivīda tiesībām un likumiskajām interesēm nodarīto zaudējumu.</w:t>
            </w:r>
          </w:p>
          <w:p w14:paraId="62C4616C" w14:textId="282FE395" w:rsidR="00A52CC7" w:rsidRPr="008D573E" w:rsidRDefault="002D562A" w:rsidP="00B30F6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projekts neparedz papildu slogu </w:t>
            </w:r>
            <w:r w:rsidR="003D648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noguldījumu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garantiju fonda dalībniekiem, bet tehniski precizē Latvijas Bankas prasīb</w:t>
            </w:r>
            <w:r w:rsidR="003D648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as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3D648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to rādītāju noteikšanai, kas izmantojami </w:t>
            </w:r>
            <w:r w:rsidR="00186DDA" w:rsidRPr="008D573E">
              <w:rPr>
                <w:rFonts w:ascii="Times New Roman" w:hAnsi="Times New Roman" w:cs="Times New Roman"/>
                <w:sz w:val="24"/>
                <w:szCs w:val="24"/>
              </w:rPr>
              <w:t>maksāju</w:t>
            </w:r>
            <w:r w:rsidR="00A52CC7">
              <w:rPr>
                <w:rFonts w:ascii="Times New Roman" w:hAnsi="Times New Roman" w:cs="Times New Roman"/>
                <w:sz w:val="24"/>
                <w:szCs w:val="24"/>
              </w:rPr>
              <w:t>miem</w:t>
            </w:r>
            <w:r w:rsidR="001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 garantiju fondā piemērojam</w:t>
            </w:r>
            <w:r w:rsidR="003D648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korekcijas koeficient</w:t>
            </w:r>
            <w:r w:rsidR="003D648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 aprēķināšanai</w:t>
            </w:r>
            <w:r w:rsidR="00A52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Noteikumu projektā ietvertās jaunās prasības maksājumiem </w:t>
            </w:r>
            <w:r w:rsidR="0065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noguldījumu garantiju fondā </w:t>
            </w:r>
            <w:r w:rsidR="00A52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piemērojam</w:t>
            </w:r>
            <w:r w:rsidR="00D9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</w:t>
            </w:r>
            <w:r w:rsidR="00A52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procentu apmēra aprēķināšan</w:t>
            </w:r>
            <w:r w:rsidR="0065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</w:t>
            </w:r>
            <w:r w:rsidR="00A52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nepieciešamas </w:t>
            </w:r>
            <w:r w:rsidR="0065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to prasību izpildei, kuras ar </w:t>
            </w:r>
            <w:r w:rsidR="00863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Grozījumu likumu </w:t>
            </w:r>
            <w:r w:rsidR="0065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plānots noteikt Likum</w:t>
            </w:r>
            <w:r w:rsidR="00D9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="00A76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  <w:r w:rsidR="006516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Atbilstoši </w:t>
            </w:r>
            <w:r w:rsidR="00863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Grozījumu likumā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ietvertajā Likuma 8. panta devītajā daļā paredzētajam deleģējumam šādas prasības tiek noteiktas ārējā normatīvajā aktā</w:t>
            </w:r>
            <w:r w:rsidR="004E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– Latvijas Bankas noteikumos.</w:t>
            </w:r>
          </w:p>
          <w:p w14:paraId="15358280" w14:textId="664BCDC0" w:rsidR="000D7719" w:rsidRPr="008D573E" w:rsidRDefault="002D562A" w:rsidP="00B30F6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</w:t>
            </w:r>
            <w:r w:rsidR="0039413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projektā </w:t>
            </w:r>
            <w:r w:rsidR="00C363F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ietvert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ais regulējums</w:t>
            </w:r>
            <w:r w:rsidR="00C363FA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21010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ir </w:t>
            </w:r>
            <w:r w:rsidR="000D7719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</w:t>
            </w:r>
            <w:r w:rsidR="0021010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oš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</w:t>
            </w:r>
            <w:r w:rsidR="0021010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lai izpildītu</w:t>
            </w:r>
            <w:r w:rsidR="000D7719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D97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</w:t>
            </w:r>
            <w:r w:rsidR="000D7719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ikuma prasīb</w:t>
            </w:r>
            <w:r w:rsidR="00210101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as</w:t>
            </w:r>
            <w:r w:rsidR="00C3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attiecībā uz maksājumiem noguldījumu garantiju fondā</w:t>
            </w:r>
            <w:r w:rsidR="000D7719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0B4E0A" w:rsidRPr="008D573E" w14:paraId="457D6A2B" w14:textId="77777777" w:rsidTr="00E253DA">
        <w:trPr>
          <w:trHeight w:val="567"/>
        </w:trPr>
        <w:tc>
          <w:tcPr>
            <w:tcW w:w="1796" w:type="pct"/>
            <w:hideMark/>
          </w:tcPr>
          <w:p w14:paraId="167B9358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Spēkā stāšanās</w:t>
            </w:r>
          </w:p>
          <w:p w14:paraId="71CBECED" w14:textId="06C03345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374D264D" w14:textId="72EEE5C0" w:rsidR="00312771" w:rsidRPr="008D573E" w:rsidRDefault="00BA05FD" w:rsidP="005008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Noteikumi stāsies spēkā nākamajā dienā pēc to publicēšanas oficiālajā izdevumā "Latvijas Vēstnesis" atbilstoši Latvijas Bankas likuma 8.</w:t>
            </w:r>
            <w:r w:rsidR="00A316CF"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otrajai daļai</w:t>
            </w:r>
            <w:r w:rsidR="005C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ņemot vērā arī </w:t>
            </w:r>
            <w:r w:rsidR="008630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Grozījumu likumā</w:t>
            </w:r>
            <w:r w:rsidR="005C4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ietvertās Likuma 8. panta devītās daļas spēkā stāšanās laiku.</w:t>
            </w:r>
          </w:p>
        </w:tc>
      </w:tr>
      <w:tr w:rsidR="000B4E0A" w:rsidRPr="008D573E" w14:paraId="29A97663" w14:textId="77777777" w:rsidTr="00E253DA">
        <w:trPr>
          <w:trHeight w:val="567"/>
        </w:trPr>
        <w:tc>
          <w:tcPr>
            <w:tcW w:w="1796" w:type="pct"/>
            <w:hideMark/>
          </w:tcPr>
          <w:p w14:paraId="5B9C5F63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Ietekme uz Latvijas Bankas budžetu</w:t>
            </w:r>
          </w:p>
          <w:p w14:paraId="014B1A80" w14:textId="1DD05011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3944460A" w14:textId="1DDF0BD8" w:rsidR="00E53DE9" w:rsidRPr="008D573E" w:rsidRDefault="0023637C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izdošana neietekmēs Latvijas Bankas budžeta ieņēmumus vai izdevumus.</w:t>
            </w:r>
          </w:p>
        </w:tc>
      </w:tr>
      <w:tr w:rsidR="000B4E0A" w:rsidRPr="008D573E" w14:paraId="74F122AB" w14:textId="77777777" w:rsidTr="001142CD">
        <w:trPr>
          <w:trHeight w:val="1517"/>
        </w:trPr>
        <w:tc>
          <w:tcPr>
            <w:tcW w:w="1796" w:type="pct"/>
            <w:hideMark/>
          </w:tcPr>
          <w:p w14:paraId="50B93F09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Administratīvā sloga un izmaksu novērtējums </w:t>
            </w:r>
            <w:r w:rsidR="00C85C34"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</w:t>
            </w: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tirgus dalībniekiem</w:t>
            </w:r>
            <w:r w:rsidR="00C85C34"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  <w:p w14:paraId="652F8FE6" w14:textId="1904302F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6CB065E2" w14:textId="39041ADE" w:rsidR="00A42788" w:rsidRPr="008D573E" w:rsidRDefault="00186DDA" w:rsidP="0011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garantiju fonda dalībniek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tiek atbrīvot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 pienākuma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aprēķināt 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maksājum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noguldījumu garantiju fondā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apmēru. 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Tādējādi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projekts samazina administratīvo slogu </w:t>
            </w:r>
            <w:r w:rsidRPr="00180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noguldījumu garantiju fonda</w:t>
            </w:r>
            <w:r w:rsidRPr="00363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dalībniek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</w:t>
            </w:r>
            <w:r w:rsidRPr="00363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</w:t>
            </w:r>
            <w:r w:rsidRPr="0029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0B4E0A" w:rsidRPr="008D573E" w14:paraId="5E6D0405" w14:textId="77777777" w:rsidTr="00E253DA">
        <w:trPr>
          <w:trHeight w:val="567"/>
        </w:trPr>
        <w:tc>
          <w:tcPr>
            <w:tcW w:w="1796" w:type="pct"/>
            <w:hideMark/>
          </w:tcPr>
          <w:p w14:paraId="2F4E3287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Saistītie dokumenti</w:t>
            </w:r>
          </w:p>
          <w:p w14:paraId="378C981E" w14:textId="6DB40C71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16376C7E" w14:textId="4FCE8D49" w:rsidR="00210101" w:rsidRPr="00E44C61" w:rsidRDefault="00210101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</w:t>
            </w:r>
            <w:r w:rsidR="00B4000F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oteikumu projektu saistītie dokumenti:</w:t>
            </w:r>
          </w:p>
          <w:p w14:paraId="3EB973B8" w14:textId="51F0DA2E" w:rsidR="00C363FA" w:rsidRPr="00E44C61" w:rsidRDefault="00C6327C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Grozījumu likums</w:t>
            </w:r>
            <w:r w:rsidR="00C363FA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1747BD86" w14:textId="16C85BD2" w:rsidR="004F7E9D" w:rsidRPr="00E44C61" w:rsidRDefault="00C363FA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</w:t>
            </w:r>
            <w:r w:rsidR="00B30F61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ikums</w:t>
            </w:r>
            <w:r w:rsidR="00912135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0EBD207B" w14:textId="77675BC4" w:rsidR="00C363FA" w:rsidRPr="00E44C61" w:rsidRDefault="00C363FA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Noteikumi Nr. 263, kuri ar noteikumu projektu tiks atzīti par spēku zaudējušiem;</w:t>
            </w:r>
          </w:p>
          <w:p w14:paraId="202961E2" w14:textId="3CEA0CD1" w:rsidR="00C363FA" w:rsidRPr="00E44C61" w:rsidRDefault="00C363FA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Īstenošanas regula Nr. 2024/3117;</w:t>
            </w:r>
          </w:p>
          <w:p w14:paraId="5955E783" w14:textId="3EB440EA" w:rsidR="009E4FBF" w:rsidRPr="00E44C61" w:rsidRDefault="009E4FBF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Latvijas Bankas 2022.</w:t>
            </w:r>
            <w:r w:rsidR="00B31227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24.</w:t>
            </w:r>
            <w:r w:rsidR="00B31227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oktobra noteikumi Nr.</w:t>
            </w:r>
            <w:r w:rsidR="00B31227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226 "Noteikumi par elektronisko informācijas apmaiņu ar Latvijas Banku";</w:t>
            </w:r>
          </w:p>
          <w:p w14:paraId="0C6E04CB" w14:textId="6F58B9A8" w:rsidR="00E44C61" w:rsidRPr="00BB094E" w:rsidRDefault="00C363FA" w:rsidP="004E6AE6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Latvijas Bankas 2026.</w:t>
            </w:r>
            <w:r w:rsidR="005C467B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26.</w:t>
            </w:r>
            <w:r w:rsidR="005C467B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janvāra noteikumi Nr. 411 "Krājaizdevu sabiedrību darbību raksturojošo rādītāju aprēķināšanas un pārskatu sagatavošanas noteikumi"</w:t>
            </w:r>
            <w:r w:rsidR="004816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27B485CD" w14:textId="4078B28B" w:rsidR="00186DDA" w:rsidRPr="00C363FA" w:rsidRDefault="00E44C61" w:rsidP="00BB094E">
            <w:pPr>
              <w:pStyle w:val="Sarakstarindkopa"/>
              <w:numPr>
                <w:ilvl w:val="0"/>
                <w:numId w:val="3"/>
              </w:numPr>
              <w:tabs>
                <w:tab w:val="left" w:pos="37"/>
                <w:tab w:val="left" w:pos="321"/>
              </w:tabs>
              <w:spacing w:before="120" w:after="120" w:line="240" w:lineRule="auto"/>
              <w:ind w:left="37" w:firstLine="0"/>
              <w:jc w:val="both"/>
              <w:rPr>
                <w:lang w:eastAsia="lv-LV"/>
              </w:rPr>
            </w:pP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Latvijas Bankas 2022.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12.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septembra noteikumi Nr.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218 "Statistisko datu par kredītiestāžu un citu monetāro finanšu iestāžu finansiālo stāvokli (MBP) sagatavošanas un iesniegšanas noteikumi"</w:t>
            </w:r>
            <w:r w:rsidR="00C363FA" w:rsidRPr="00E4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0B4E0A" w:rsidRPr="008D573E" w14:paraId="7B39A4DD" w14:textId="77777777" w:rsidTr="00E253DA">
        <w:trPr>
          <w:trHeight w:val="567"/>
        </w:trPr>
        <w:tc>
          <w:tcPr>
            <w:tcW w:w="1796" w:type="pct"/>
            <w:hideMark/>
          </w:tcPr>
          <w:p w14:paraId="0B99FFDD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Saskaņošana ar Eiropas Centrālo banku</w:t>
            </w:r>
          </w:p>
          <w:p w14:paraId="4A756E9D" w14:textId="65F53909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162166C3" w14:textId="0F223869" w:rsidR="00A42788" w:rsidRPr="008D573E" w:rsidRDefault="0023637C" w:rsidP="00A316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projektu nav nepieciešams saskaņot ar Eiropas Centrālo banku.</w:t>
            </w:r>
          </w:p>
        </w:tc>
      </w:tr>
      <w:tr w:rsidR="000B4E0A" w:rsidRPr="008D573E" w14:paraId="79622963" w14:textId="77777777" w:rsidTr="00E253DA">
        <w:trPr>
          <w:trHeight w:val="567"/>
        </w:trPr>
        <w:tc>
          <w:tcPr>
            <w:tcW w:w="1796" w:type="pct"/>
            <w:hideMark/>
          </w:tcPr>
          <w:p w14:paraId="581D9633" w14:textId="77777777" w:rsidR="00A42788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Saskaņošana ar citām publiskām un privātām personām</w:t>
            </w:r>
          </w:p>
          <w:p w14:paraId="6D76A17A" w14:textId="2DF982D9" w:rsidR="00CA28AB" w:rsidRPr="008D573E" w:rsidRDefault="00CA28AB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04" w:type="pct"/>
          </w:tcPr>
          <w:p w14:paraId="184EF149" w14:textId="43F35A69" w:rsidR="00962435" w:rsidRDefault="0085358D" w:rsidP="0085358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Noteikumu projekts </w:t>
            </w:r>
            <w:r w:rsidR="00ED10AA" w:rsidRPr="00ED10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0AA" w:rsidRPr="00ED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2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10AA" w:rsidRPr="00ED10AA">
              <w:rPr>
                <w:rFonts w:ascii="Times New Roman" w:hAnsi="Times New Roman" w:cs="Times New Roman"/>
                <w:sz w:val="24"/>
                <w:szCs w:val="24"/>
              </w:rPr>
              <w:t>gada 15.</w:t>
            </w:r>
            <w:r w:rsidR="00C632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10AA">
              <w:rPr>
                <w:rFonts w:ascii="Times New Roman" w:hAnsi="Times New Roman" w:cs="Times New Roman"/>
                <w:sz w:val="24"/>
                <w:szCs w:val="24"/>
              </w:rPr>
              <w:t>maijā</w:t>
            </w:r>
            <w:r w:rsidR="00ED10AA" w:rsidRPr="00ED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r w:rsidR="00C373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publicēts Latvijas Bankas tīmekļvietnes www.bank.lv sadaļas "Tiesību akti" apakšsadaļā "Sabiedrības līdzdalība", </w:t>
            </w:r>
            <w:r w:rsidR="00962435" w:rsidRPr="00962435">
              <w:rPr>
                <w:rFonts w:ascii="Times New Roman" w:hAnsi="Times New Roman" w:cs="Times New Roman"/>
                <w:sz w:val="24"/>
                <w:szCs w:val="24"/>
              </w:rPr>
              <w:t>un par to līdz 202</w:t>
            </w:r>
            <w:r w:rsidR="00962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2435" w:rsidRPr="0096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2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2435" w:rsidRPr="00962435">
              <w:rPr>
                <w:rFonts w:ascii="Times New Roman" w:hAnsi="Times New Roman" w:cs="Times New Roman"/>
                <w:sz w:val="24"/>
                <w:szCs w:val="24"/>
              </w:rPr>
              <w:t>gada 29.</w:t>
            </w:r>
            <w:r w:rsidR="00C632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2435">
              <w:rPr>
                <w:rFonts w:ascii="Times New Roman" w:hAnsi="Times New Roman" w:cs="Times New Roman"/>
                <w:sz w:val="24"/>
                <w:szCs w:val="24"/>
              </w:rPr>
              <w:t>maijam</w:t>
            </w:r>
            <w:r w:rsidR="00962435" w:rsidRPr="00962435">
              <w:rPr>
                <w:rFonts w:ascii="Times New Roman" w:hAnsi="Times New Roman" w:cs="Times New Roman"/>
                <w:sz w:val="24"/>
                <w:szCs w:val="24"/>
              </w:rPr>
              <w:t xml:space="preserve"> bija iespējama sabiedrības līdzdalība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DB470" w14:textId="4927BC8D" w:rsidR="00695F52" w:rsidRPr="008D573E" w:rsidRDefault="0085358D" w:rsidP="006D5CB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Vienlaikus par noteikumu projektu un notiekošo sabiedrības līdzdalību tik</w:t>
            </w:r>
            <w:r w:rsidR="00C373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informēta Latvijas Finanšu nozares asociācija, akciju sabiedrība "Rietumu Banka"</w:t>
            </w:r>
            <w:r w:rsidR="003A0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  <w:r w:rsidR="005C46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INDEXO Banka</w:t>
            </w:r>
            <w:r w:rsidR="00C75D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DFC" w:rsidRPr="005D4DFC">
              <w:rPr>
                <w:rFonts w:ascii="Times New Roman" w:hAnsi="Times New Roman" w:cs="Times New Roman"/>
                <w:sz w:val="24"/>
                <w:szCs w:val="24"/>
              </w:rPr>
              <w:t>Latvijas Kooperatīvo krājaizdevu sabiedrību savienība</w:t>
            </w:r>
            <w:r w:rsidR="001F084C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56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DA4" w:rsidRPr="00AB6130">
              <w:rPr>
                <w:rFonts w:ascii="Times New Roman" w:hAnsi="Times New Roman" w:cs="Times New Roman"/>
                <w:sz w:val="24"/>
                <w:szCs w:val="24"/>
              </w:rPr>
              <w:t>Krājaizdevu Apvienīb</w:t>
            </w:r>
            <w:r w:rsidR="00C75D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D5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E0A" w:rsidRPr="000B4E0A" w14:paraId="4A3E4A01" w14:textId="77777777" w:rsidTr="00E253DA">
        <w:trPr>
          <w:trHeight w:val="567"/>
        </w:trPr>
        <w:tc>
          <w:tcPr>
            <w:tcW w:w="1796" w:type="pct"/>
            <w:hideMark/>
          </w:tcPr>
          <w:p w14:paraId="45DABBFE" w14:textId="00AA82F1" w:rsidR="00CA28AB" w:rsidRPr="008D573E" w:rsidRDefault="00A42788" w:rsidP="00B30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Saskaņošanas rezultāti</w:t>
            </w:r>
          </w:p>
        </w:tc>
        <w:tc>
          <w:tcPr>
            <w:tcW w:w="3204" w:type="pct"/>
          </w:tcPr>
          <w:p w14:paraId="471296D4" w14:textId="77777777" w:rsidR="00E32F0F" w:rsidRDefault="00C3739E" w:rsidP="00EF4D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373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Sabiedrības līdzdalības rezultātā par noteikumu projektu netika saņemti iebildumi vai priekšlikumi, līdz ar to noteikumu projekts ir saskaņots bez iebildumiem vai priekšlikumiem.</w:t>
            </w:r>
          </w:p>
          <w:p w14:paraId="736AD104" w14:textId="5B0B6DAB" w:rsidR="008603E7" w:rsidRPr="00FF6C33" w:rsidRDefault="008603E7" w:rsidP="00EF4D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2026.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gada 9.</w:t>
            </w:r>
            <w:r w:rsidR="00C63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jūnij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tika izskatīts Latvijas Bankas konsultatīvās finanšu tirgus padomes sēdē, kurā tika atbalst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īta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noteikumu projekta virzīšan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Pr="00860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apstiprināšanai Latvijas Bankas padomē.</w:t>
            </w:r>
          </w:p>
        </w:tc>
      </w:tr>
    </w:tbl>
    <w:p w14:paraId="0B016432" w14:textId="77777777" w:rsidR="00E53DE9" w:rsidRPr="000B4E0A" w:rsidRDefault="00E53DE9" w:rsidP="00B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3DE9" w:rsidRPr="000B4E0A" w:rsidSect="007E313B">
      <w:headerReference w:type="default" r:id="rId11"/>
      <w:pgSz w:w="11906" w:h="16838" w:code="9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74A2" w14:textId="77777777" w:rsidR="00AC3921" w:rsidRDefault="00AC3921" w:rsidP="009B27BE">
      <w:pPr>
        <w:spacing w:after="0" w:line="240" w:lineRule="auto"/>
      </w:pPr>
      <w:r>
        <w:separator/>
      </w:r>
    </w:p>
  </w:endnote>
  <w:endnote w:type="continuationSeparator" w:id="0">
    <w:p w14:paraId="5F5BC055" w14:textId="77777777" w:rsidR="00AC3921" w:rsidRDefault="00AC3921" w:rsidP="009B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9C64" w14:textId="77777777" w:rsidR="00AC3921" w:rsidRDefault="00AC3921" w:rsidP="009B27BE">
      <w:pPr>
        <w:spacing w:after="0" w:line="240" w:lineRule="auto"/>
      </w:pPr>
      <w:r>
        <w:separator/>
      </w:r>
    </w:p>
  </w:footnote>
  <w:footnote w:type="continuationSeparator" w:id="0">
    <w:p w14:paraId="4D77C4DA" w14:textId="77777777" w:rsidR="00AC3921" w:rsidRDefault="00AC3921" w:rsidP="009B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89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90C0DE2" w14:textId="03395BFA" w:rsidR="007E313B" w:rsidRPr="007E313B" w:rsidRDefault="007E313B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31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31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31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E313B">
          <w:rPr>
            <w:rFonts w:ascii="Times New Roman" w:hAnsi="Times New Roman" w:cs="Times New Roman"/>
            <w:sz w:val="20"/>
            <w:szCs w:val="20"/>
          </w:rPr>
          <w:t>2</w:t>
        </w:r>
        <w:r w:rsidRPr="007E31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BE6551" w14:textId="77777777" w:rsidR="007E313B" w:rsidRDefault="007E31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0808"/>
    <w:multiLevelType w:val="hybridMultilevel"/>
    <w:tmpl w:val="B55C1C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537"/>
    <w:multiLevelType w:val="hybridMultilevel"/>
    <w:tmpl w:val="78722166"/>
    <w:lvl w:ilvl="0" w:tplc="7A3E11AC">
      <w:start w:val="1"/>
      <w:numFmt w:val="decimal"/>
      <w:lvlText w:val="%1)"/>
      <w:lvlJc w:val="left"/>
      <w:pPr>
        <w:ind w:left="910" w:hanging="55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57167"/>
    <w:multiLevelType w:val="hybridMultilevel"/>
    <w:tmpl w:val="0BD66A6A"/>
    <w:lvl w:ilvl="0" w:tplc="E4AA12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71796">
    <w:abstractNumId w:val="0"/>
  </w:num>
  <w:num w:numId="2" w16cid:durableId="1416904649">
    <w:abstractNumId w:val="1"/>
  </w:num>
  <w:num w:numId="3" w16cid:durableId="179525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E"/>
    <w:rsid w:val="00000B3C"/>
    <w:rsid w:val="00000DC5"/>
    <w:rsid w:val="000055BD"/>
    <w:rsid w:val="000152A2"/>
    <w:rsid w:val="00020564"/>
    <w:rsid w:val="000263F5"/>
    <w:rsid w:val="0002742D"/>
    <w:rsid w:val="00031BEA"/>
    <w:rsid w:val="0003291D"/>
    <w:rsid w:val="0003491A"/>
    <w:rsid w:val="00035424"/>
    <w:rsid w:val="00041D77"/>
    <w:rsid w:val="00044E0F"/>
    <w:rsid w:val="00050490"/>
    <w:rsid w:val="000504AD"/>
    <w:rsid w:val="0005248C"/>
    <w:rsid w:val="0006713D"/>
    <w:rsid w:val="0007524E"/>
    <w:rsid w:val="00082628"/>
    <w:rsid w:val="00082AD5"/>
    <w:rsid w:val="0008510E"/>
    <w:rsid w:val="00095824"/>
    <w:rsid w:val="0009616F"/>
    <w:rsid w:val="000977A3"/>
    <w:rsid w:val="000A0CB0"/>
    <w:rsid w:val="000A5010"/>
    <w:rsid w:val="000B010E"/>
    <w:rsid w:val="000B4E0A"/>
    <w:rsid w:val="000C24BE"/>
    <w:rsid w:val="000C3733"/>
    <w:rsid w:val="000C55E9"/>
    <w:rsid w:val="000D1EFC"/>
    <w:rsid w:val="000D7719"/>
    <w:rsid w:val="000F0779"/>
    <w:rsid w:val="000F3E17"/>
    <w:rsid w:val="000F703D"/>
    <w:rsid w:val="00105CA3"/>
    <w:rsid w:val="001142CD"/>
    <w:rsid w:val="00121E2E"/>
    <w:rsid w:val="00122E8D"/>
    <w:rsid w:val="00132070"/>
    <w:rsid w:val="00133F6A"/>
    <w:rsid w:val="00135B1D"/>
    <w:rsid w:val="0014340E"/>
    <w:rsid w:val="00143A48"/>
    <w:rsid w:val="0014771C"/>
    <w:rsid w:val="0015111A"/>
    <w:rsid w:val="00154169"/>
    <w:rsid w:val="001559BD"/>
    <w:rsid w:val="00160FAD"/>
    <w:rsid w:val="001713D8"/>
    <w:rsid w:val="00173E1D"/>
    <w:rsid w:val="00180DB0"/>
    <w:rsid w:val="0018249F"/>
    <w:rsid w:val="00186DDA"/>
    <w:rsid w:val="00192F17"/>
    <w:rsid w:val="0019482D"/>
    <w:rsid w:val="001967AB"/>
    <w:rsid w:val="00196B28"/>
    <w:rsid w:val="001A5171"/>
    <w:rsid w:val="001A5E49"/>
    <w:rsid w:val="001A6805"/>
    <w:rsid w:val="001A740C"/>
    <w:rsid w:val="001B0B58"/>
    <w:rsid w:val="001B1420"/>
    <w:rsid w:val="001B3316"/>
    <w:rsid w:val="001B745F"/>
    <w:rsid w:val="001C1E01"/>
    <w:rsid w:val="001C359C"/>
    <w:rsid w:val="001C5F32"/>
    <w:rsid w:val="001D1E35"/>
    <w:rsid w:val="001D7007"/>
    <w:rsid w:val="001E3E6A"/>
    <w:rsid w:val="001E6338"/>
    <w:rsid w:val="001E7AB4"/>
    <w:rsid w:val="001F084C"/>
    <w:rsid w:val="001F32D6"/>
    <w:rsid w:val="00210101"/>
    <w:rsid w:val="00212C42"/>
    <w:rsid w:val="00217C95"/>
    <w:rsid w:val="00230CD5"/>
    <w:rsid w:val="0023637C"/>
    <w:rsid w:val="00236BF1"/>
    <w:rsid w:val="002426BE"/>
    <w:rsid w:val="0025071D"/>
    <w:rsid w:val="00267FE9"/>
    <w:rsid w:val="002745A9"/>
    <w:rsid w:val="002843AC"/>
    <w:rsid w:val="00290350"/>
    <w:rsid w:val="002912C6"/>
    <w:rsid w:val="00294A84"/>
    <w:rsid w:val="00294B82"/>
    <w:rsid w:val="00296753"/>
    <w:rsid w:val="002A6A82"/>
    <w:rsid w:val="002B17C2"/>
    <w:rsid w:val="002B19B0"/>
    <w:rsid w:val="002C576C"/>
    <w:rsid w:val="002C70D0"/>
    <w:rsid w:val="002C7DC1"/>
    <w:rsid w:val="002D2FD4"/>
    <w:rsid w:val="002D562A"/>
    <w:rsid w:val="002E0332"/>
    <w:rsid w:val="002E3E62"/>
    <w:rsid w:val="00312771"/>
    <w:rsid w:val="003132CB"/>
    <w:rsid w:val="00313EAB"/>
    <w:rsid w:val="00324E17"/>
    <w:rsid w:val="003308C3"/>
    <w:rsid w:val="003344C2"/>
    <w:rsid w:val="003363C6"/>
    <w:rsid w:val="003633CC"/>
    <w:rsid w:val="003733F1"/>
    <w:rsid w:val="00392C95"/>
    <w:rsid w:val="00393A0B"/>
    <w:rsid w:val="0039413A"/>
    <w:rsid w:val="003A0F26"/>
    <w:rsid w:val="003A2909"/>
    <w:rsid w:val="003B2721"/>
    <w:rsid w:val="003B29B0"/>
    <w:rsid w:val="003B481B"/>
    <w:rsid w:val="003D318A"/>
    <w:rsid w:val="003D32E9"/>
    <w:rsid w:val="003D56C1"/>
    <w:rsid w:val="003D648F"/>
    <w:rsid w:val="003F47A8"/>
    <w:rsid w:val="0041579C"/>
    <w:rsid w:val="00423BF3"/>
    <w:rsid w:val="0042481E"/>
    <w:rsid w:val="00431516"/>
    <w:rsid w:val="00435F74"/>
    <w:rsid w:val="00437EB1"/>
    <w:rsid w:val="00445325"/>
    <w:rsid w:val="004472FE"/>
    <w:rsid w:val="0045690E"/>
    <w:rsid w:val="0045717A"/>
    <w:rsid w:val="004650C7"/>
    <w:rsid w:val="00473EEE"/>
    <w:rsid w:val="00475678"/>
    <w:rsid w:val="004816CA"/>
    <w:rsid w:val="00492047"/>
    <w:rsid w:val="0049248A"/>
    <w:rsid w:val="004938E5"/>
    <w:rsid w:val="00497302"/>
    <w:rsid w:val="004A01DF"/>
    <w:rsid w:val="004A278E"/>
    <w:rsid w:val="004B1B1E"/>
    <w:rsid w:val="004B5D75"/>
    <w:rsid w:val="004C4784"/>
    <w:rsid w:val="004E67B6"/>
    <w:rsid w:val="004E6AE6"/>
    <w:rsid w:val="004F7E9D"/>
    <w:rsid w:val="00500870"/>
    <w:rsid w:val="00502196"/>
    <w:rsid w:val="005059AF"/>
    <w:rsid w:val="0050759B"/>
    <w:rsid w:val="005126EC"/>
    <w:rsid w:val="00516EF6"/>
    <w:rsid w:val="00517943"/>
    <w:rsid w:val="00525FC7"/>
    <w:rsid w:val="0052777D"/>
    <w:rsid w:val="00534ABB"/>
    <w:rsid w:val="00540A57"/>
    <w:rsid w:val="00542E34"/>
    <w:rsid w:val="00544268"/>
    <w:rsid w:val="00547AA6"/>
    <w:rsid w:val="00547F2F"/>
    <w:rsid w:val="00554AD8"/>
    <w:rsid w:val="00556358"/>
    <w:rsid w:val="00561EF8"/>
    <w:rsid w:val="0056244A"/>
    <w:rsid w:val="00562459"/>
    <w:rsid w:val="005650DD"/>
    <w:rsid w:val="00574D1E"/>
    <w:rsid w:val="005829D3"/>
    <w:rsid w:val="00584A52"/>
    <w:rsid w:val="005854DF"/>
    <w:rsid w:val="005A16D7"/>
    <w:rsid w:val="005A35D1"/>
    <w:rsid w:val="005A3A45"/>
    <w:rsid w:val="005A5D32"/>
    <w:rsid w:val="005B3E28"/>
    <w:rsid w:val="005C2699"/>
    <w:rsid w:val="005C2723"/>
    <w:rsid w:val="005C28BB"/>
    <w:rsid w:val="005C2EBB"/>
    <w:rsid w:val="005C467B"/>
    <w:rsid w:val="005D3C23"/>
    <w:rsid w:val="005D4DFC"/>
    <w:rsid w:val="005D5137"/>
    <w:rsid w:val="005D577B"/>
    <w:rsid w:val="005E51E2"/>
    <w:rsid w:val="005E54C7"/>
    <w:rsid w:val="005F1B74"/>
    <w:rsid w:val="005F385C"/>
    <w:rsid w:val="005F5DC5"/>
    <w:rsid w:val="0060016E"/>
    <w:rsid w:val="006108B3"/>
    <w:rsid w:val="00611802"/>
    <w:rsid w:val="00620173"/>
    <w:rsid w:val="00621972"/>
    <w:rsid w:val="006242B2"/>
    <w:rsid w:val="00634AE1"/>
    <w:rsid w:val="00637AB0"/>
    <w:rsid w:val="00637DDC"/>
    <w:rsid w:val="00642172"/>
    <w:rsid w:val="00646F76"/>
    <w:rsid w:val="0065164D"/>
    <w:rsid w:val="00660469"/>
    <w:rsid w:val="006608FF"/>
    <w:rsid w:val="00662B3A"/>
    <w:rsid w:val="00667E8F"/>
    <w:rsid w:val="00675978"/>
    <w:rsid w:val="00676C38"/>
    <w:rsid w:val="00690A23"/>
    <w:rsid w:val="0069516A"/>
    <w:rsid w:val="00695F52"/>
    <w:rsid w:val="00696F03"/>
    <w:rsid w:val="006A46A7"/>
    <w:rsid w:val="006A50FB"/>
    <w:rsid w:val="006B16AE"/>
    <w:rsid w:val="006D5CB9"/>
    <w:rsid w:val="006D769E"/>
    <w:rsid w:val="006D76C9"/>
    <w:rsid w:val="006E0753"/>
    <w:rsid w:val="006E0E3D"/>
    <w:rsid w:val="006E125B"/>
    <w:rsid w:val="006E33AA"/>
    <w:rsid w:val="006F65C8"/>
    <w:rsid w:val="00706333"/>
    <w:rsid w:val="00706A5E"/>
    <w:rsid w:val="007131BD"/>
    <w:rsid w:val="00713C65"/>
    <w:rsid w:val="007211B3"/>
    <w:rsid w:val="00743CCB"/>
    <w:rsid w:val="007529C8"/>
    <w:rsid w:val="0075558A"/>
    <w:rsid w:val="00756820"/>
    <w:rsid w:val="00762371"/>
    <w:rsid w:val="007724E5"/>
    <w:rsid w:val="00774E37"/>
    <w:rsid w:val="0078208F"/>
    <w:rsid w:val="00790CDB"/>
    <w:rsid w:val="00797293"/>
    <w:rsid w:val="00797692"/>
    <w:rsid w:val="007A5AE8"/>
    <w:rsid w:val="007B0569"/>
    <w:rsid w:val="007B32CC"/>
    <w:rsid w:val="007C3623"/>
    <w:rsid w:val="007D0CA3"/>
    <w:rsid w:val="007E0007"/>
    <w:rsid w:val="007E313B"/>
    <w:rsid w:val="007F09D6"/>
    <w:rsid w:val="007F7BE7"/>
    <w:rsid w:val="00803F9F"/>
    <w:rsid w:val="008076A9"/>
    <w:rsid w:val="008145E6"/>
    <w:rsid w:val="00821C91"/>
    <w:rsid w:val="0082321A"/>
    <w:rsid w:val="00827FA8"/>
    <w:rsid w:val="00832DDB"/>
    <w:rsid w:val="008367A7"/>
    <w:rsid w:val="00842BEE"/>
    <w:rsid w:val="0084685F"/>
    <w:rsid w:val="0085358D"/>
    <w:rsid w:val="0085546B"/>
    <w:rsid w:val="008603E7"/>
    <w:rsid w:val="00861AF8"/>
    <w:rsid w:val="0086308A"/>
    <w:rsid w:val="00864DE5"/>
    <w:rsid w:val="00876932"/>
    <w:rsid w:val="00877370"/>
    <w:rsid w:val="00882A92"/>
    <w:rsid w:val="00887CA3"/>
    <w:rsid w:val="008900A1"/>
    <w:rsid w:val="0089573C"/>
    <w:rsid w:val="008A1ED3"/>
    <w:rsid w:val="008A52F4"/>
    <w:rsid w:val="008A5342"/>
    <w:rsid w:val="008B4605"/>
    <w:rsid w:val="008C0670"/>
    <w:rsid w:val="008C0E89"/>
    <w:rsid w:val="008C32D3"/>
    <w:rsid w:val="008C779D"/>
    <w:rsid w:val="008C7DD3"/>
    <w:rsid w:val="008C7E33"/>
    <w:rsid w:val="008D1B93"/>
    <w:rsid w:val="008D41D6"/>
    <w:rsid w:val="008D573E"/>
    <w:rsid w:val="008F41DA"/>
    <w:rsid w:val="008F7714"/>
    <w:rsid w:val="00900C7D"/>
    <w:rsid w:val="00904B8E"/>
    <w:rsid w:val="00912135"/>
    <w:rsid w:val="00915127"/>
    <w:rsid w:val="009158E8"/>
    <w:rsid w:val="00917081"/>
    <w:rsid w:val="00920831"/>
    <w:rsid w:val="00932E5B"/>
    <w:rsid w:val="00935FAB"/>
    <w:rsid w:val="00942479"/>
    <w:rsid w:val="0096049E"/>
    <w:rsid w:val="00962435"/>
    <w:rsid w:val="00965388"/>
    <w:rsid w:val="00995752"/>
    <w:rsid w:val="009A0F78"/>
    <w:rsid w:val="009A2A1A"/>
    <w:rsid w:val="009B27BE"/>
    <w:rsid w:val="009B4E85"/>
    <w:rsid w:val="009D04E6"/>
    <w:rsid w:val="009D0F5C"/>
    <w:rsid w:val="009D69BC"/>
    <w:rsid w:val="009E4620"/>
    <w:rsid w:val="009E4FBF"/>
    <w:rsid w:val="009E5D88"/>
    <w:rsid w:val="00A0086D"/>
    <w:rsid w:val="00A0418B"/>
    <w:rsid w:val="00A316CF"/>
    <w:rsid w:val="00A34ECE"/>
    <w:rsid w:val="00A379E6"/>
    <w:rsid w:val="00A42788"/>
    <w:rsid w:val="00A42B63"/>
    <w:rsid w:val="00A45589"/>
    <w:rsid w:val="00A47E5C"/>
    <w:rsid w:val="00A50921"/>
    <w:rsid w:val="00A52CC7"/>
    <w:rsid w:val="00A546E0"/>
    <w:rsid w:val="00A561EB"/>
    <w:rsid w:val="00A60DD8"/>
    <w:rsid w:val="00A754A7"/>
    <w:rsid w:val="00A76318"/>
    <w:rsid w:val="00A77434"/>
    <w:rsid w:val="00A852F2"/>
    <w:rsid w:val="00A92258"/>
    <w:rsid w:val="00AA06AE"/>
    <w:rsid w:val="00AA37E8"/>
    <w:rsid w:val="00AA4D8F"/>
    <w:rsid w:val="00AA600E"/>
    <w:rsid w:val="00AB1253"/>
    <w:rsid w:val="00AB6130"/>
    <w:rsid w:val="00AC3921"/>
    <w:rsid w:val="00AC4973"/>
    <w:rsid w:val="00AD13A2"/>
    <w:rsid w:val="00AD426E"/>
    <w:rsid w:val="00AD4FAF"/>
    <w:rsid w:val="00AD5D88"/>
    <w:rsid w:val="00AE24F6"/>
    <w:rsid w:val="00AE2A48"/>
    <w:rsid w:val="00AE3F6A"/>
    <w:rsid w:val="00AF0F51"/>
    <w:rsid w:val="00AF1491"/>
    <w:rsid w:val="00AF1786"/>
    <w:rsid w:val="00AF2184"/>
    <w:rsid w:val="00AF2524"/>
    <w:rsid w:val="00AF33A9"/>
    <w:rsid w:val="00AF36D2"/>
    <w:rsid w:val="00B037E3"/>
    <w:rsid w:val="00B04FE1"/>
    <w:rsid w:val="00B16F38"/>
    <w:rsid w:val="00B239A5"/>
    <w:rsid w:val="00B241FA"/>
    <w:rsid w:val="00B30F61"/>
    <w:rsid w:val="00B31227"/>
    <w:rsid w:val="00B4000F"/>
    <w:rsid w:val="00B424C4"/>
    <w:rsid w:val="00B61D37"/>
    <w:rsid w:val="00B62244"/>
    <w:rsid w:val="00B661AE"/>
    <w:rsid w:val="00B66623"/>
    <w:rsid w:val="00B76434"/>
    <w:rsid w:val="00B776B5"/>
    <w:rsid w:val="00B83FE2"/>
    <w:rsid w:val="00B8606D"/>
    <w:rsid w:val="00B95DAB"/>
    <w:rsid w:val="00BA0517"/>
    <w:rsid w:val="00BA05FD"/>
    <w:rsid w:val="00BA47D7"/>
    <w:rsid w:val="00BA55A8"/>
    <w:rsid w:val="00BB094E"/>
    <w:rsid w:val="00BB37F4"/>
    <w:rsid w:val="00BB4E22"/>
    <w:rsid w:val="00BB5CF1"/>
    <w:rsid w:val="00BE1918"/>
    <w:rsid w:val="00BE378B"/>
    <w:rsid w:val="00BF2B5E"/>
    <w:rsid w:val="00C04BC1"/>
    <w:rsid w:val="00C05A3D"/>
    <w:rsid w:val="00C1178F"/>
    <w:rsid w:val="00C142BF"/>
    <w:rsid w:val="00C24554"/>
    <w:rsid w:val="00C32677"/>
    <w:rsid w:val="00C356DE"/>
    <w:rsid w:val="00C363FA"/>
    <w:rsid w:val="00C3739E"/>
    <w:rsid w:val="00C45017"/>
    <w:rsid w:val="00C46DB6"/>
    <w:rsid w:val="00C548EC"/>
    <w:rsid w:val="00C624A9"/>
    <w:rsid w:val="00C62C6A"/>
    <w:rsid w:val="00C6327C"/>
    <w:rsid w:val="00C64D76"/>
    <w:rsid w:val="00C71C6F"/>
    <w:rsid w:val="00C75DA4"/>
    <w:rsid w:val="00C7773D"/>
    <w:rsid w:val="00C80402"/>
    <w:rsid w:val="00C85C34"/>
    <w:rsid w:val="00C92B99"/>
    <w:rsid w:val="00CA28AB"/>
    <w:rsid w:val="00CB71A0"/>
    <w:rsid w:val="00CC5674"/>
    <w:rsid w:val="00CC5DF9"/>
    <w:rsid w:val="00CD0AFE"/>
    <w:rsid w:val="00CD254C"/>
    <w:rsid w:val="00CF41FE"/>
    <w:rsid w:val="00D009D3"/>
    <w:rsid w:val="00D15A24"/>
    <w:rsid w:val="00D17D5D"/>
    <w:rsid w:val="00D5175C"/>
    <w:rsid w:val="00D712D3"/>
    <w:rsid w:val="00D727B3"/>
    <w:rsid w:val="00D851CA"/>
    <w:rsid w:val="00D93BA4"/>
    <w:rsid w:val="00D95907"/>
    <w:rsid w:val="00D97388"/>
    <w:rsid w:val="00DA3E47"/>
    <w:rsid w:val="00DB195D"/>
    <w:rsid w:val="00DB24A7"/>
    <w:rsid w:val="00DB2F2B"/>
    <w:rsid w:val="00DB36FF"/>
    <w:rsid w:val="00DC411A"/>
    <w:rsid w:val="00DD2D0C"/>
    <w:rsid w:val="00DD3A99"/>
    <w:rsid w:val="00DE0B6F"/>
    <w:rsid w:val="00DE10A1"/>
    <w:rsid w:val="00DE42F1"/>
    <w:rsid w:val="00DF4F38"/>
    <w:rsid w:val="00E04474"/>
    <w:rsid w:val="00E06695"/>
    <w:rsid w:val="00E076B1"/>
    <w:rsid w:val="00E208A6"/>
    <w:rsid w:val="00E2144D"/>
    <w:rsid w:val="00E23457"/>
    <w:rsid w:val="00E253DA"/>
    <w:rsid w:val="00E31136"/>
    <w:rsid w:val="00E32F0F"/>
    <w:rsid w:val="00E44C61"/>
    <w:rsid w:val="00E53DE9"/>
    <w:rsid w:val="00E5420F"/>
    <w:rsid w:val="00E60064"/>
    <w:rsid w:val="00E72573"/>
    <w:rsid w:val="00E76FCC"/>
    <w:rsid w:val="00E805EF"/>
    <w:rsid w:val="00E9063F"/>
    <w:rsid w:val="00E9414A"/>
    <w:rsid w:val="00E97230"/>
    <w:rsid w:val="00EB261C"/>
    <w:rsid w:val="00EB3955"/>
    <w:rsid w:val="00EB5459"/>
    <w:rsid w:val="00EC3F53"/>
    <w:rsid w:val="00EC50A0"/>
    <w:rsid w:val="00EC764F"/>
    <w:rsid w:val="00EC7BA9"/>
    <w:rsid w:val="00ED10AA"/>
    <w:rsid w:val="00ED18EC"/>
    <w:rsid w:val="00ED51DA"/>
    <w:rsid w:val="00EE3E74"/>
    <w:rsid w:val="00EF330D"/>
    <w:rsid w:val="00EF4DE8"/>
    <w:rsid w:val="00EF706F"/>
    <w:rsid w:val="00F01AAA"/>
    <w:rsid w:val="00F0700C"/>
    <w:rsid w:val="00F15547"/>
    <w:rsid w:val="00F173FD"/>
    <w:rsid w:val="00F36AE8"/>
    <w:rsid w:val="00F36BF4"/>
    <w:rsid w:val="00F414B2"/>
    <w:rsid w:val="00F42D4B"/>
    <w:rsid w:val="00F548E6"/>
    <w:rsid w:val="00F60E06"/>
    <w:rsid w:val="00F64E40"/>
    <w:rsid w:val="00F67026"/>
    <w:rsid w:val="00F671D7"/>
    <w:rsid w:val="00F73DCF"/>
    <w:rsid w:val="00F82CBF"/>
    <w:rsid w:val="00F91BD1"/>
    <w:rsid w:val="00F92EDA"/>
    <w:rsid w:val="00FA3626"/>
    <w:rsid w:val="00FA4B91"/>
    <w:rsid w:val="00FB4DCA"/>
    <w:rsid w:val="00FC3077"/>
    <w:rsid w:val="00FD4D7F"/>
    <w:rsid w:val="00FD56EF"/>
    <w:rsid w:val="00FD739F"/>
    <w:rsid w:val="00FF2C62"/>
    <w:rsid w:val="00FF52E2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3A48"/>
  <w15:chartTrackingRefBased/>
  <w15:docId w15:val="{DC318F0F-5FD4-416D-B1E8-94CDD398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42F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9D69B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D69B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D69BC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E3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E313B"/>
  </w:style>
  <w:style w:type="paragraph" w:styleId="Kjene">
    <w:name w:val="footer"/>
    <w:basedOn w:val="Parasts"/>
    <w:link w:val="KjeneRakstz"/>
    <w:uiPriority w:val="99"/>
    <w:unhideWhenUsed/>
    <w:rsid w:val="007E3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E313B"/>
  </w:style>
  <w:style w:type="paragraph" w:styleId="Sarakstarindkopa">
    <w:name w:val="List Paragraph"/>
    <w:basedOn w:val="Parasts"/>
    <w:uiPriority w:val="34"/>
    <w:qFormat/>
    <w:rsid w:val="00B8606D"/>
    <w:pPr>
      <w:ind w:left="720"/>
      <w:contextualSpacing/>
    </w:pPr>
  </w:style>
  <w:style w:type="paragraph" w:styleId="Prskatjums">
    <w:name w:val="Revision"/>
    <w:hidden/>
    <w:uiPriority w:val="99"/>
    <w:semiHidden/>
    <w:rsid w:val="0051794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A35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35D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35D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35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35D1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1A740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A740C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E76FCC"/>
  </w:style>
  <w:style w:type="character" w:customStyle="1" w:styleId="ui-provider">
    <w:name w:val="ui-provider"/>
    <w:basedOn w:val="Noklusjumarindkopasfonts"/>
    <w:rsid w:val="00A4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A10541D5B4783A11F0109B9AC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830D-408D-48BE-8893-61FE5BFA465E}"/>
      </w:docPartPr>
      <w:docPartBody>
        <w:p w:rsidR="00FB3F86" w:rsidRDefault="002B04C6" w:rsidP="002B04C6">
          <w:pPr>
            <w:pStyle w:val="4F2A10541D5B4783A11F0109B9AC55D1"/>
          </w:pPr>
          <w:r w:rsidRPr="006C06FD">
            <w:rPr>
              <w:rStyle w:val="Vietturateksts"/>
              <w:b/>
              <w:szCs w:val="24"/>
            </w:rPr>
            <w:t>[Nosaukums]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6"/>
    <w:rsid w:val="0003291D"/>
    <w:rsid w:val="00050490"/>
    <w:rsid w:val="000645DE"/>
    <w:rsid w:val="00064B11"/>
    <w:rsid w:val="00094171"/>
    <w:rsid w:val="000A0CB0"/>
    <w:rsid w:val="000B0D3F"/>
    <w:rsid w:val="000B40CB"/>
    <w:rsid w:val="000C04C7"/>
    <w:rsid w:val="000D248E"/>
    <w:rsid w:val="00135B1D"/>
    <w:rsid w:val="00154169"/>
    <w:rsid w:val="00175099"/>
    <w:rsid w:val="00196B28"/>
    <w:rsid w:val="001B3316"/>
    <w:rsid w:val="001C359C"/>
    <w:rsid w:val="001C5F32"/>
    <w:rsid w:val="001F0A05"/>
    <w:rsid w:val="00230CD5"/>
    <w:rsid w:val="0023129E"/>
    <w:rsid w:val="00242BD4"/>
    <w:rsid w:val="00245E67"/>
    <w:rsid w:val="002745A9"/>
    <w:rsid w:val="002843AC"/>
    <w:rsid w:val="002B04C6"/>
    <w:rsid w:val="002B17C2"/>
    <w:rsid w:val="002B4226"/>
    <w:rsid w:val="002F2789"/>
    <w:rsid w:val="00311C72"/>
    <w:rsid w:val="003308C3"/>
    <w:rsid w:val="00380FD5"/>
    <w:rsid w:val="003A4D83"/>
    <w:rsid w:val="003D32E9"/>
    <w:rsid w:val="003F2581"/>
    <w:rsid w:val="003F5B1A"/>
    <w:rsid w:val="00403472"/>
    <w:rsid w:val="00430572"/>
    <w:rsid w:val="004757B6"/>
    <w:rsid w:val="004D1A75"/>
    <w:rsid w:val="004E7347"/>
    <w:rsid w:val="0052777D"/>
    <w:rsid w:val="0054660F"/>
    <w:rsid w:val="00562459"/>
    <w:rsid w:val="00574D1E"/>
    <w:rsid w:val="005810C4"/>
    <w:rsid w:val="005829D3"/>
    <w:rsid w:val="005A3A45"/>
    <w:rsid w:val="005F5DC5"/>
    <w:rsid w:val="006108B3"/>
    <w:rsid w:val="00637AB0"/>
    <w:rsid w:val="00637DDC"/>
    <w:rsid w:val="00655090"/>
    <w:rsid w:val="00667E8F"/>
    <w:rsid w:val="00674C78"/>
    <w:rsid w:val="006A46A7"/>
    <w:rsid w:val="006A50FB"/>
    <w:rsid w:val="006C7FE3"/>
    <w:rsid w:val="006D769E"/>
    <w:rsid w:val="006E33AA"/>
    <w:rsid w:val="007234BF"/>
    <w:rsid w:val="00732EF5"/>
    <w:rsid w:val="007355B0"/>
    <w:rsid w:val="00737B19"/>
    <w:rsid w:val="007479C3"/>
    <w:rsid w:val="00747F6A"/>
    <w:rsid w:val="00782342"/>
    <w:rsid w:val="007F7BE7"/>
    <w:rsid w:val="0082321A"/>
    <w:rsid w:val="00864DE5"/>
    <w:rsid w:val="00877370"/>
    <w:rsid w:val="008A1ED3"/>
    <w:rsid w:val="008B4605"/>
    <w:rsid w:val="008C2FBB"/>
    <w:rsid w:val="008C779D"/>
    <w:rsid w:val="008F02AE"/>
    <w:rsid w:val="009158E8"/>
    <w:rsid w:val="00917081"/>
    <w:rsid w:val="00923A20"/>
    <w:rsid w:val="009808DE"/>
    <w:rsid w:val="00A42B63"/>
    <w:rsid w:val="00A54A76"/>
    <w:rsid w:val="00A754A7"/>
    <w:rsid w:val="00A92258"/>
    <w:rsid w:val="00AA2EAC"/>
    <w:rsid w:val="00AB08E0"/>
    <w:rsid w:val="00AB1253"/>
    <w:rsid w:val="00AB14DB"/>
    <w:rsid w:val="00AD345A"/>
    <w:rsid w:val="00AD4FAF"/>
    <w:rsid w:val="00AE7524"/>
    <w:rsid w:val="00AF33A9"/>
    <w:rsid w:val="00BA0517"/>
    <w:rsid w:val="00BA6A12"/>
    <w:rsid w:val="00BD34B1"/>
    <w:rsid w:val="00BF2B5E"/>
    <w:rsid w:val="00C05A3D"/>
    <w:rsid w:val="00C53904"/>
    <w:rsid w:val="00C62D90"/>
    <w:rsid w:val="00CA0235"/>
    <w:rsid w:val="00CA7F73"/>
    <w:rsid w:val="00CE4499"/>
    <w:rsid w:val="00D10C00"/>
    <w:rsid w:val="00D2046E"/>
    <w:rsid w:val="00DB22AD"/>
    <w:rsid w:val="00DB2F2B"/>
    <w:rsid w:val="00DF4F38"/>
    <w:rsid w:val="00E104F9"/>
    <w:rsid w:val="00E111C7"/>
    <w:rsid w:val="00E12372"/>
    <w:rsid w:val="00E31136"/>
    <w:rsid w:val="00E6737D"/>
    <w:rsid w:val="00EC50A0"/>
    <w:rsid w:val="00ED04D5"/>
    <w:rsid w:val="00ED51DA"/>
    <w:rsid w:val="00F01AAA"/>
    <w:rsid w:val="00F265C3"/>
    <w:rsid w:val="00F414B2"/>
    <w:rsid w:val="00F56513"/>
    <w:rsid w:val="00F60E06"/>
    <w:rsid w:val="00F73DCF"/>
    <w:rsid w:val="00FA6490"/>
    <w:rsid w:val="00FB2698"/>
    <w:rsid w:val="00FB3F86"/>
    <w:rsid w:val="00FC6EA8"/>
    <w:rsid w:val="00FE5E6B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E7524"/>
  </w:style>
  <w:style w:type="paragraph" w:customStyle="1" w:styleId="4F2A10541D5B4783A11F0109B9AC55D1">
    <w:name w:val="4F2A10541D5B4783A11F0109B9AC55D1"/>
    <w:rsid w:val="002B0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53541E1AFE9DF4983746D949E3FD634" ma:contentTypeVersion="1" ma:contentTypeDescription="Izveidot jaunu dokumentu." ma:contentTypeScope="" ma:versionID="be031df6de0d6d2bc3bcaab97a2398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3dbecf5d7db408d19abbd440ff561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Beigu datuma plānošan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1749C-DC95-4F12-8C92-9DD966414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37E8C-5B59-4BC4-B7A2-F07207A0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79904-0F63-4506-91C9-580672D25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F12AF-0498-425C-B57A-1096A614A4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1653</Words>
  <Characters>7920</Characters>
  <Application>Microsoft Office Word</Application>
  <DocSecurity>0</DocSecurity>
  <Lines>232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Vija Škutāne</cp:lastModifiedBy>
  <cp:revision>2</cp:revision>
  <dcterms:created xsi:type="dcterms:W3CDTF">2026-06-30T13:13:00Z</dcterms:created>
  <dcterms:modified xsi:type="dcterms:W3CDTF">2026-06-30T13:13:00Z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0x010100053541E1AFE9DF4983746D949E3FD634</vt:lpwstr>
  </property>
</Properties>
</file>