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A791" w14:textId="0DEE1905" w:rsidR="006D1FA5" w:rsidRPr="00206FA5" w:rsidRDefault="00F81C7A" w:rsidP="00E80B5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F0D2F">
        <w:rPr>
          <w:rFonts w:ascii="Times New Roman" w:hAnsi="Times New Roman" w:cs="Times New Roman"/>
          <w:b/>
          <w:sz w:val="24"/>
          <w:szCs w:val="24"/>
          <w:lang w:val="lv-LV"/>
        </w:rPr>
        <w:t>Latvijas Bankas noteikumu projekta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"Grozījumi </w:t>
      </w:r>
      <w:r w:rsidRPr="00730A6D">
        <w:rPr>
          <w:rFonts w:ascii="Times New Roman" w:hAnsi="Times New Roman" w:cs="Times New Roman"/>
          <w:b/>
          <w:sz w:val="24"/>
          <w:szCs w:val="24"/>
          <w:lang w:val="lv-LV"/>
        </w:rPr>
        <w:t>Latvijas Bankas 2022.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 </w:t>
      </w:r>
      <w:r w:rsidRPr="00730A6D">
        <w:rPr>
          <w:rFonts w:ascii="Times New Roman" w:hAnsi="Times New Roman" w:cs="Times New Roman"/>
          <w:b/>
          <w:sz w:val="24"/>
          <w:szCs w:val="24"/>
          <w:lang w:val="lv-LV"/>
        </w:rPr>
        <w:t>gada 19.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 </w:t>
      </w:r>
      <w:r w:rsidRPr="00730A6D">
        <w:rPr>
          <w:rFonts w:ascii="Times New Roman" w:hAnsi="Times New Roman" w:cs="Times New Roman"/>
          <w:b/>
          <w:sz w:val="24"/>
          <w:szCs w:val="24"/>
          <w:lang w:val="lv-LV"/>
        </w:rPr>
        <w:t>decembra noteikumos Nr.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 </w:t>
      </w:r>
      <w:r w:rsidRPr="00730A6D">
        <w:rPr>
          <w:rFonts w:ascii="Times New Roman" w:hAnsi="Times New Roman" w:cs="Times New Roman"/>
          <w:b/>
          <w:sz w:val="24"/>
          <w:szCs w:val="24"/>
          <w:lang w:val="lv-LV"/>
        </w:rPr>
        <w:t>236 "Latvijas Bankas maksas pakalpojumu cenrādis skaidrās naudas jomā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""</w:t>
      </w:r>
      <w:r w:rsidRPr="002F0D2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206FA5">
        <w:rPr>
          <w:rFonts w:ascii="Times New Roman" w:hAnsi="Times New Roman" w:cs="Times New Roman"/>
          <w:b/>
          <w:sz w:val="24"/>
          <w:szCs w:val="24"/>
          <w:lang w:val="lv-LV"/>
        </w:rPr>
        <w:t>anotā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cija</w:t>
      </w:r>
    </w:p>
    <w:tbl>
      <w:tblPr>
        <w:tblStyle w:val="Reatabula"/>
        <w:tblW w:w="0" w:type="auto"/>
        <w:tblInd w:w="-113" w:type="dxa"/>
        <w:tblLook w:val="04A0" w:firstRow="1" w:lastRow="0" w:firstColumn="1" w:lastColumn="0" w:noHBand="0" w:noVBand="1"/>
      </w:tblPr>
      <w:tblGrid>
        <w:gridCol w:w="1776"/>
        <w:gridCol w:w="6520"/>
      </w:tblGrid>
      <w:tr w:rsidR="00A11065" w:rsidRPr="00B37DD6" w14:paraId="6608D79D" w14:textId="77777777" w:rsidTr="009F5D20">
        <w:tc>
          <w:tcPr>
            <w:tcW w:w="1776" w:type="dxa"/>
          </w:tcPr>
          <w:p w14:paraId="68877734" w14:textId="575439A2" w:rsidR="00A11065" w:rsidRPr="00A47169" w:rsidRDefault="00A11065" w:rsidP="006E7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6520" w:type="dxa"/>
          </w:tcPr>
          <w:p w14:paraId="2FF5068B" w14:textId="1A259643" w:rsidR="00036789" w:rsidRPr="00F81C7A" w:rsidRDefault="00730A6D" w:rsidP="00F81C7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0" w:name="_Hlk120783417"/>
            <w:r w:rsidRPr="00730A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Grozījum</w:t>
            </w:r>
            <w:r w:rsidR="002C294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730A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Latvijas Bankas 2022.</w:t>
            </w:r>
            <w:r w:rsidR="00B05F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730A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gada 19.</w:t>
            </w:r>
            <w:r w:rsidR="00B05F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730A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decembra noteikumos Nr.</w:t>
            </w:r>
            <w:r w:rsidR="00B05F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730A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236 "Latvijas Bankas maksas pakalpojumu cenrādis skaidrās naudas jomā"</w:t>
            </w:r>
            <w:bookmarkEnd w:id="0"/>
          </w:p>
        </w:tc>
      </w:tr>
      <w:tr w:rsidR="00A11065" w:rsidRPr="00206FA5" w14:paraId="1396FCA9" w14:textId="77777777" w:rsidTr="009F5D20">
        <w:tc>
          <w:tcPr>
            <w:tcW w:w="1776" w:type="dxa"/>
          </w:tcPr>
          <w:p w14:paraId="7C44890F" w14:textId="21136172" w:rsidR="00A11065" w:rsidRPr="00A47169" w:rsidRDefault="00A11065" w:rsidP="006E7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Dokumenta veids</w:t>
            </w:r>
          </w:p>
        </w:tc>
        <w:tc>
          <w:tcPr>
            <w:tcW w:w="6520" w:type="dxa"/>
          </w:tcPr>
          <w:p w14:paraId="6C4AFB48" w14:textId="14B74789" w:rsidR="00A11065" w:rsidRPr="00206FA5" w:rsidRDefault="00F97382" w:rsidP="00F81C7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FA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Noteikumi</w:t>
            </w:r>
          </w:p>
        </w:tc>
      </w:tr>
      <w:tr w:rsidR="00A11065" w:rsidRPr="002323CA" w14:paraId="01282D37" w14:textId="77777777" w:rsidTr="009F5D20">
        <w:tc>
          <w:tcPr>
            <w:tcW w:w="1776" w:type="dxa"/>
          </w:tcPr>
          <w:p w14:paraId="22678A7B" w14:textId="1FC80FFA" w:rsidR="00A11065" w:rsidRPr="00A47169" w:rsidRDefault="00A11065" w:rsidP="006E7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Izdošanas pamatojums</w:t>
            </w:r>
          </w:p>
        </w:tc>
        <w:tc>
          <w:tcPr>
            <w:tcW w:w="6520" w:type="dxa"/>
          </w:tcPr>
          <w:p w14:paraId="515AF61E" w14:textId="73A0F884" w:rsidR="00A11065" w:rsidRPr="00206FA5" w:rsidRDefault="007A30F5" w:rsidP="00F81C7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FA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Latvijas Bankas likuma </w:t>
            </w:r>
            <w:r w:rsidR="00E459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 panta otrā daļa</w:t>
            </w:r>
          </w:p>
          <w:p w14:paraId="7938552A" w14:textId="0C9F2BAB" w:rsidR="006F6685" w:rsidRPr="00206FA5" w:rsidRDefault="006F6685" w:rsidP="00F81C7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11065" w:rsidRPr="00B37DD6" w14:paraId="7B35E15C" w14:textId="77777777" w:rsidTr="009F5D20">
        <w:tc>
          <w:tcPr>
            <w:tcW w:w="1776" w:type="dxa"/>
          </w:tcPr>
          <w:p w14:paraId="7D5B3B51" w14:textId="2FF2896D" w:rsidR="00A11065" w:rsidRPr="00A47169" w:rsidRDefault="00A11065" w:rsidP="006E73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Mērķis un būtība</w:t>
            </w:r>
          </w:p>
        </w:tc>
        <w:tc>
          <w:tcPr>
            <w:tcW w:w="6520" w:type="dxa"/>
          </w:tcPr>
          <w:p w14:paraId="4D92D064" w14:textId="662ED324" w:rsidR="00EB493A" w:rsidRPr="00EB493A" w:rsidRDefault="00EB493A" w:rsidP="00F81C7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Saskaņā ar Latvijas Bankas likuma 38.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panta otrajā daļā noteikto </w:t>
            </w:r>
            <w:r w:rsidRPr="00EB4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 Latvijas Banka organizē </w:t>
            </w:r>
            <w:r w:rsidRPr="00EB4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Pr="00EB4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apgrozības monētu, tostarp </w:t>
            </w:r>
            <w:r w:rsidRPr="00EB4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Pr="00EB4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piemiņas monētu, un kolekcijas monētu dizaina izveidi, izgatavošanu un piegādi, kā arī emitē tās, ievērojot Eiropas Savienības tiesību aktus un Eiropas Centrālās bankas apstiprinātu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EB493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Pr="00EB49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monētu emisijas daudzumu.</w:t>
            </w:r>
          </w:p>
          <w:p w14:paraId="0B10FD47" w14:textId="73DDF899" w:rsidR="00FF1A76" w:rsidRDefault="00CE36C0" w:rsidP="00F81C7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FF1A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Ņemot vērā </w:t>
            </w:r>
            <w:r w:rsidR="00FF1A76" w:rsidRPr="00FF1A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Latvijas Bankas padomes apstiprinātajā Latvijas Bankas </w:t>
            </w:r>
            <w:r w:rsidR="00FF1A76" w:rsidRPr="00FF1A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 xml:space="preserve">euro </w:t>
            </w:r>
            <w:r w:rsidR="00FF1A76" w:rsidRPr="00FF1A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kolekcijas un piemiņas monētu un apgrozības monētu komplektu izlaides programmā 202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6</w:t>
            </w:r>
            <w:r w:rsidR="00FF1A76" w:rsidRPr="00FF1A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FF1A76" w:rsidRPr="00FF1A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gadam paredzēto, Latvijas Banka plāno</w:t>
            </w:r>
            <w:r w:rsidR="00CA207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3049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202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6</w:t>
            </w:r>
            <w:r w:rsidR="003049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3049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gada 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maijā</w:t>
            </w:r>
            <w:r w:rsidR="0055091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FF1A76" w:rsidRPr="00F177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emitēt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</w:t>
            </w:r>
            <w:r w:rsidR="008B6380" w:rsidRP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urzemes līgavas vainagam </w:t>
            </w:r>
            <w:r w:rsidR="00BF28CE" w:rsidRPr="00BF28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veltī</w:t>
            </w:r>
            <w:r w:rsidR="00BF28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tu</w:t>
            </w:r>
            <w:r w:rsidR="004A176F"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FF1A76" w:rsidRPr="002161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FF1A76"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483C1B"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kolekcijas</w:t>
            </w:r>
            <w:r w:rsidR="00FF1A76"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monētu</w:t>
            </w:r>
            <w:r w:rsidR="008644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ar nosaukumu</w:t>
            </w:r>
            <w:r w:rsidR="00FF1A76"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"</w:t>
            </w:r>
            <w:r w:rsidR="008B6380" w:rsidRP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Līgavas vainags</w:t>
            </w:r>
            <w:r w:rsidR="00FF1A76"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"</w:t>
            </w:r>
            <w:r w:rsidR="00625F3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5 </w:t>
            </w:r>
            <w:r w:rsidR="00625F31" w:rsidRPr="009A3F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625F3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nominālvērtībā</w:t>
            </w:r>
            <w:r w:rsidR="00031F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un 202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6</w:t>
            </w:r>
            <w:r w:rsidR="00031F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. gada 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jūnijā</w:t>
            </w:r>
            <w:r w:rsidR="00031F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em</w:t>
            </w:r>
            <w:r w:rsidR="00031FB6" w:rsidRPr="00F177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itēt</w:t>
            </w:r>
            <w:r w:rsidR="00031F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zelta </w:t>
            </w:r>
            <w:r w:rsidR="008B6380" w:rsidRPr="002161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8B6380"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</w:t>
            </w:r>
            <w:r w:rsid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monētu </w:t>
            </w:r>
            <w:r w:rsidR="008B6380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komplektu</w:t>
            </w:r>
            <w:r w:rsidR="00031FB6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"</w:t>
            </w:r>
            <w:r w:rsidR="008B6380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Zelta sēkliņas</w:t>
            </w:r>
            <w:r w:rsidR="00031FB6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"</w:t>
            </w:r>
            <w:r w:rsidR="00BB4E79" w:rsidRPr="00A92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r w:rsidR="002C2943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kurā</w:t>
            </w:r>
            <w:r w:rsidR="00BB4E79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tiks iekļautas piecas vienādas </w:t>
            </w:r>
            <w:r w:rsidR="00BB4E79" w:rsidRPr="00A92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BB4E79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 monētas, kas ietvertas vienā kapsulā</w:t>
            </w:r>
            <w:r w:rsidR="00BB4E79" w:rsidRPr="00A92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.</w:t>
            </w:r>
            <w:r w:rsidR="002C2943" w:rsidRPr="00A92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2C2943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Vienas </w:t>
            </w:r>
            <w:r w:rsidR="00812F3B" w:rsidRPr="00A92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812F3B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 monētas "Zelta sēkliņa"</w:t>
            </w:r>
            <w:r w:rsidR="002C2943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nominālvērtība</w:t>
            </w:r>
            <w:r w:rsidR="00E866DF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ir</w:t>
            </w:r>
            <w:r w:rsidR="002C2943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3 </w:t>
            </w:r>
            <w:r w:rsidR="002C2943" w:rsidRPr="00A92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 xml:space="preserve">euro. </w:t>
            </w:r>
            <w:r w:rsidR="002C2943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Monētu komplekt</w:t>
            </w:r>
            <w:r w:rsidR="000A1FF1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ā iekļauto monētu</w:t>
            </w:r>
            <w:r w:rsidR="002C29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nominālvērtīb</w:t>
            </w:r>
            <w:r w:rsidR="00E866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u summa</w:t>
            </w:r>
            <w:r w:rsidR="00812F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ir</w:t>
            </w:r>
            <w:r w:rsidR="002C29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15</w:t>
            </w:r>
            <w:r w:rsidR="00812F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2C2943" w:rsidRPr="009A3F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FF1A76" w:rsidRPr="005975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4DE77973" w14:textId="6D8E6BEB" w:rsidR="008B6380" w:rsidRPr="00A929EA" w:rsidRDefault="008B6380" w:rsidP="00F81C7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Lai veicinātu </w:t>
            </w:r>
            <w:r w:rsidR="00A01F92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202</w:t>
            </w:r>
            <w:r w:rsidR="00042A00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2</w:t>
            </w:r>
            <w:r w:rsidR="00A01F92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. gadā Latvijas Bankas emitētās </w:t>
            </w:r>
            <w:r w:rsidR="00A01F92" w:rsidRPr="00A92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A01F92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 </w:t>
            </w:r>
            <w:r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monētas "Ukrainas brīvībai" pārdošanu un no tās veiktos ziedojumus Ukrainas atbalstam</w:t>
            </w:r>
            <w:r w:rsidR="0059754E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,</w:t>
            </w:r>
            <w:r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59754E" w:rsidRPr="00A929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59754E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 </w:t>
            </w:r>
            <w:r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monētai "Ukrainas brīvībai" </w:t>
            </w:r>
            <w:r w:rsidR="0059754E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nepieciešams </w:t>
            </w:r>
            <w:r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noteikt </w:t>
            </w:r>
            <w:r w:rsidR="00684E8B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arī cenu</w:t>
            </w:r>
            <w:r w:rsidR="0059754E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ar apjoma atlaidi. Cena ar apjoma atlaidi tiek piemērota, ja pircējs pērk 10 vai vairāk Latvijas Bankas emitēto monētu vai monētu komplektu</w:t>
            </w:r>
            <w:r w:rsidR="00684E8B"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  <w:r w:rsidRPr="00A929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  <w:p w14:paraId="5C6BE3BE" w14:textId="0BCEFEF9" w:rsidR="002F5EC0" w:rsidRPr="00F14139" w:rsidRDefault="00465724" w:rsidP="00F81C7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Lai noteiktu </w:t>
            </w:r>
            <w:r w:rsidR="005975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iepriekš minēto </w:t>
            </w:r>
            <w:r w:rsidR="0059754E" w:rsidRPr="00904F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5975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 m</w:t>
            </w:r>
            <w:r w:rsidR="003605B6"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onēt</w:t>
            </w:r>
            <w:r w:rsidR="001B64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u</w:t>
            </w:r>
            <w:r w:rsidR="005975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(turpmāk – </w:t>
            </w:r>
            <w:r w:rsidR="00904F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M</w:t>
            </w:r>
            <w:r w:rsidR="005975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onēta</w:t>
            </w:r>
            <w:r w:rsidR="00904F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</w:t>
            </w:r>
            <w:r w:rsidR="005975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)</w:t>
            </w:r>
            <w:r w:rsidR="000A14FA"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pārdošanas cen</w:t>
            </w:r>
            <w:r w:rsidR="00904F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as</w:t>
            </w:r>
            <w:r w:rsidR="00CE36C0"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, izstrādāts Latvijas Bankas noteikumu "</w:t>
            </w:r>
            <w:r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Grozījum</w:t>
            </w:r>
            <w:r w:rsidR="00D67D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i</w:t>
            </w:r>
            <w:r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Latvijas Bankas 2022.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gada 19.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decembra noteikumos Nr.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236 "Latvijas Bankas maksas pakalpojumu cenrādis skaidrās naudas jomā"</w:t>
            </w:r>
            <w:r w:rsidR="00CE36C0"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" projekts (t</w:t>
            </w:r>
            <w:r w:rsidR="002829F3"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urpmāk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CE36C0"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– Projekts).</w:t>
            </w:r>
          </w:p>
          <w:p w14:paraId="64CAA043" w14:textId="50E5EF37" w:rsidR="00483C1B" w:rsidRPr="00AD5AEC" w:rsidRDefault="006C679A" w:rsidP="00F81C7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14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Projektā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paredzēts, ka a</w:t>
            </w:r>
            <w:r w:rsidR="00483C1B" w:rsidRPr="00DC74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tbilstoši Latvijas Bankas likuma 42.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483C1B" w:rsidRPr="00DC74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panta pirmajā daļā</w:t>
            </w:r>
            <w:r w:rsidR="00DC74DF" w:rsidRPr="00DC74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un</w:t>
            </w:r>
            <w:r w:rsidR="000A14FA" w:rsidRPr="00DC74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DC74DF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Eiropas Parlamenta un Padomes 2012.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DC74DF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gada 4.</w:t>
            </w:r>
            <w:r w:rsidR="00DF02A6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DC74DF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jūlija Regulas (ES) Nr.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DC74DF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651/2012 par </w:t>
            </w:r>
            <w:r w:rsidR="00DC74DF" w:rsidRPr="00854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DC74DF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monētu emisiju 5.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DC74DF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panta 3.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DC74DF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punktā </w:t>
            </w:r>
            <w:r w:rsidR="00483C1B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noteiktajām Latvijas Bankas tiesībām</w:t>
            </w:r>
            <w:r w:rsidR="001C6BCE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, kā arī ņemot vērā Eiropas Komisijas 2010. gada 22. marta Ieteikumu 2010/191/ES par </w:t>
            </w:r>
            <w:r w:rsidR="001C6BCE" w:rsidRPr="00854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1C6BCE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banknošu un monētu likumīgā maksāšanas līdzekļa statusa darbības jomu un ietekmi 10.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="001C6BCE" w:rsidRPr="008544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punktu</w:t>
            </w:r>
            <w:r w:rsidR="001C6BCE" w:rsidRPr="006C6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r w:rsidR="003605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Monēt</w:t>
            </w:r>
            <w:r w:rsidR="001B64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u</w:t>
            </w:r>
            <w:r w:rsidR="001C6B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1C6BCE" w:rsidRPr="00AD5A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pārdošanas cena</w:t>
            </w:r>
            <w:r w:rsidRPr="00AD5A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pārsniedz </w:t>
            </w:r>
            <w:r w:rsidR="003605B6" w:rsidRPr="00AD5A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M</w:t>
            </w:r>
            <w:r w:rsidRPr="00AD5A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onēt</w:t>
            </w:r>
            <w:r w:rsidR="001B64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u</w:t>
            </w:r>
            <w:r w:rsidRPr="00AD5A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nominālvērtību. </w:t>
            </w:r>
            <w:r w:rsidR="003605B6" w:rsidRPr="00AD5A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lastRenderedPageBreak/>
              <w:t>Monēta</w:t>
            </w:r>
            <w:r w:rsidR="001B64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</w:t>
            </w:r>
            <w:r w:rsidRPr="00AD5A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paredzēta</w:t>
            </w:r>
            <w:r w:rsidR="001B64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kolekcionēšanai</w:t>
            </w:r>
            <w:r w:rsidR="00955F2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tā</w:t>
            </w:r>
            <w:r w:rsidR="001B64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</w:t>
            </w:r>
            <w:r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etiek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emitēta</w:t>
            </w:r>
            <w:r w:rsidR="001B64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mērķi t</w:t>
            </w:r>
            <w:r w:rsidR="001B64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ās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lietot kā maksāšanas līdzekli</w:t>
            </w:r>
            <w:r w:rsidR="003605B6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Monēt</w:t>
            </w:r>
            <w:r w:rsidR="001B64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īpašo </w:t>
            </w:r>
            <w:r w:rsidR="00483C1B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pazīmju (īpašs dizains</w:t>
            </w:r>
            <w:r w:rsidR="00854419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="00483C1B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iesaiņojums</w:t>
            </w:r>
            <w:r w:rsidR="00854419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483C1B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kā arī</w:t>
            </w:r>
            <w:r w:rsidR="003605B6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83C1B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 </w:t>
            </w:r>
            <w:r w:rsidR="00483C1B" w:rsidRPr="008544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euro</w:t>
            </w:r>
            <w:r w:rsidR="00483C1B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apgrozības monētām atšķirīga nominālvērtība</w:t>
            </w:r>
            <w:r w:rsidR="00854419" w:rsidRP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krāsa, metāls, izmērs un svar</w:t>
            </w:r>
            <w:r w:rsidR="008544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) dēļ </w:t>
            </w:r>
            <w:r w:rsidR="003605B6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="001B64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ās</w:t>
            </w:r>
            <w:r w:rsidR="003605B6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 viegli atšķirt no </w:t>
            </w:r>
            <w:r w:rsidR="00483C1B" w:rsidRPr="00AD5A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euro</w:t>
            </w:r>
            <w:r w:rsidR="00483C1B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apgrozības monētām</w:t>
            </w:r>
            <w:r w:rsidR="00AD5AEC" w:rsidRPr="00AD5AE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2FFF964D" w14:textId="5CD689D9" w:rsidR="00CC0A7B" w:rsidRPr="00FC5ECA" w:rsidRDefault="00B17992" w:rsidP="00F81C7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M</w:t>
            </w:r>
            <w:r w:rsidR="00910318"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onēt</w:t>
            </w:r>
            <w:r w:rsidR="001B64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u</w:t>
            </w:r>
            <w:r w:rsidR="00910318"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pārdošanas cena noteikta, </w:t>
            </w:r>
            <w:r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ņemot vērā </w:t>
            </w:r>
            <w:r w:rsidR="00910318"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ar </w:t>
            </w:r>
            <w:r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Monēt</w:t>
            </w:r>
            <w:r w:rsidR="001B64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u</w:t>
            </w:r>
            <w:r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izgatavošanu un emisiju</w:t>
            </w:r>
            <w:r w:rsidR="00910318"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saistītos Latvijas Bankas izdevumus</w:t>
            </w:r>
            <w:r w:rsidR="00FC5EC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(</w:t>
            </w:r>
            <w:r w:rsidR="00FC5ECA" w:rsidRPr="00753A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t.</w:t>
            </w:r>
            <w:r w:rsidR="00B05F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="00FC5ECA" w:rsidRPr="00753A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sk. metāla cenu un monēt</w:t>
            </w:r>
            <w:r w:rsidR="004A17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</w:t>
            </w:r>
            <w:r w:rsidR="00FC5ECA" w:rsidRPr="00753A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kaltuv</w:t>
            </w:r>
            <w:r w:rsidR="004A17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</w:t>
            </w:r>
            <w:r w:rsidR="00FC5ECA" w:rsidRPr="00753A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pakalpojumu izmaksas</w:t>
            </w:r>
            <w:r w:rsidR="00FC5EC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)</w:t>
            </w:r>
            <w:r w:rsidR="00910318"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un </w:t>
            </w:r>
            <w:r w:rsidR="006252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Latvijas Bankas mērķi </w:t>
            </w:r>
            <w:r w:rsidR="00625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gūt ienākumus tādā apmērā, kas segtu ar monētu izlaides programmu saistītos izdevumus</w:t>
            </w:r>
            <w:r w:rsidR="00910318" w:rsidRPr="00B179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</w:tr>
      <w:tr w:rsidR="00625207" w:rsidRPr="00B37DD6" w14:paraId="214B4373" w14:textId="77777777" w:rsidTr="009F5D20">
        <w:tc>
          <w:tcPr>
            <w:tcW w:w="1776" w:type="dxa"/>
          </w:tcPr>
          <w:p w14:paraId="5D137B02" w14:textId="58E99484" w:rsidR="00625207" w:rsidRPr="00A47169" w:rsidRDefault="00625207" w:rsidP="00625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Leģitīmais mērķis</w:t>
            </w:r>
          </w:p>
        </w:tc>
        <w:tc>
          <w:tcPr>
            <w:tcW w:w="6520" w:type="dxa"/>
          </w:tcPr>
          <w:p w14:paraId="6AB07F81" w14:textId="77777777" w:rsidR="00F81C7A" w:rsidRDefault="0005198F" w:rsidP="00F81C7A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Projekts sagatavots saskaņā ar </w:t>
            </w:r>
            <w:r w:rsidRPr="00206FA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Latvijas Bankas likuma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 panta otro daļu, lai saistībā ar plānoto Monēt</w:t>
            </w:r>
            <w:r w:rsidR="001B64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emisiju veiktu nepieciešamos grozījumus </w:t>
            </w:r>
            <w:r w:rsidRPr="004657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Latvijas Bankas 2022.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4657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gada 19.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4657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decembra noteikumos Nr.</w:t>
            </w:r>
            <w:r w:rsidR="00B05F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46572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236 "Latvijas Bankas maksas pakalpojumu cenrādis skaidrās naudas jomā"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4F62EDD7" w14:textId="2A49C252" w:rsidR="00625207" w:rsidRPr="00F81C7A" w:rsidRDefault="00625207" w:rsidP="00F81C7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26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Projektā paredzētā maksas pakalpojuma</w:t>
            </w:r>
            <w:r w:rsidR="00B05F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26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– Monēt</w:t>
            </w:r>
            <w:r w:rsidR="001B6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u</w:t>
            </w:r>
            <w:r w:rsidRPr="0026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pārdošanas</w:t>
            </w:r>
            <w:r w:rsidR="00B05F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26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– sniegšanas nepieciešamība izriet no citos tiesību aktos noteiktajiem Latvijas Bankas uzdevumiem.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  <w:tr w:rsidR="00625207" w:rsidRPr="00B37DD6" w14:paraId="2A2294A2" w14:textId="77777777" w:rsidTr="009F5D20">
        <w:tc>
          <w:tcPr>
            <w:tcW w:w="1776" w:type="dxa"/>
          </w:tcPr>
          <w:p w14:paraId="5F674D4B" w14:textId="0A2B1DBF" w:rsidR="00625207" w:rsidRPr="00A47169" w:rsidRDefault="00625207" w:rsidP="00625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Samērīgums</w:t>
            </w:r>
          </w:p>
        </w:tc>
        <w:tc>
          <w:tcPr>
            <w:tcW w:w="6520" w:type="dxa"/>
          </w:tcPr>
          <w:p w14:paraId="456EB75C" w14:textId="723C3FC0" w:rsidR="00625207" w:rsidRPr="00CC0A7B" w:rsidRDefault="00625207" w:rsidP="00F81C7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Projektā paredzētais Latvijas Bankas maksas pakalpojums</w:t>
            </w:r>
            <w:r w:rsidR="00B05F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 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– </w:t>
            </w:r>
            <w:r w:rsidR="00F81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m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onēt</w:t>
            </w:r>
            <w:r w:rsidR="001B6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u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pārdošana</w:t>
            </w:r>
            <w:r w:rsidR="00B05F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–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nav tāds, kura sniegšana vai nesniegšana varētu ietekmēt privātpersonu pamattiesības.</w:t>
            </w:r>
          </w:p>
          <w:p w14:paraId="190D3122" w14:textId="3A7DD984" w:rsidR="00625207" w:rsidRPr="00A240F0" w:rsidRDefault="00625207" w:rsidP="00F81C7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Jebkurā gadījumā Projektā noteikt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o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maksas pakalpojum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u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apmērs atzīstams par samērīgu, jo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numismātikas monētu pārdošanas cenu apmēru Latvijas Banka nosaka, lai gūtu ienākumus tādā apmērā, kas segtu ar monētu izlaides programmu saistītos izdevumus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</w:tr>
      <w:tr w:rsidR="00625207" w:rsidRPr="00B37DD6" w14:paraId="5E4A4C62" w14:textId="77777777" w:rsidTr="009F5D20">
        <w:tc>
          <w:tcPr>
            <w:tcW w:w="1776" w:type="dxa"/>
          </w:tcPr>
          <w:p w14:paraId="0BACD5EF" w14:textId="30A6E27C" w:rsidR="00625207" w:rsidRPr="00A47169" w:rsidRDefault="00625207" w:rsidP="00625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Spēkā stāšanās</w:t>
            </w:r>
          </w:p>
        </w:tc>
        <w:tc>
          <w:tcPr>
            <w:tcW w:w="6520" w:type="dxa"/>
          </w:tcPr>
          <w:p w14:paraId="44664D1A" w14:textId="77777777" w:rsidR="00625207" w:rsidRDefault="00625207" w:rsidP="00F81C7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FA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Noteikumi stāsies spēkā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nākamajā dienā pēc to</w:t>
            </w:r>
            <w:r w:rsidRPr="00A471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publicēšanas oficiālajā izdevumā "Latvijas Vēstnesis"</w:t>
            </w:r>
            <w:r w:rsidRPr="00206FA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0097E574" w14:textId="1F185FD0" w:rsidR="00625207" w:rsidRPr="00206FA5" w:rsidRDefault="0008006C" w:rsidP="00F81C7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</w:t>
            </w:r>
            <w:r w:rsidRPr="002161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uro</w:t>
            </w:r>
            <w:r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 monēt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u</w:t>
            </w:r>
            <w:r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"</w:t>
            </w:r>
            <w:r w:rsidRP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Līgavas vainags</w:t>
            </w:r>
            <w:r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un </w:t>
            </w:r>
            <w:r w:rsidRPr="002161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Pr="00CE63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monētu komplektu</w:t>
            </w:r>
            <w:r w:rsidRPr="00031F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"</w:t>
            </w:r>
            <w:proofErr w:type="spellStart"/>
            <w:r w:rsidRP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Zelta</w:t>
            </w:r>
            <w:proofErr w:type="spellEnd"/>
            <w:r w:rsidRP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3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sēkliņas</w:t>
            </w:r>
            <w:proofErr w:type="spellEnd"/>
            <w:r w:rsidRPr="00031F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"</w:t>
            </w:r>
            <w:r w:rsidR="006252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faktiski iegādāties Latvijas Bankas klienti varēs tikai pēc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attiecīgo m</w:t>
            </w:r>
            <w:r w:rsidR="00625207" w:rsidRPr="000800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onēt</w:t>
            </w:r>
            <w:r w:rsidR="001B648D" w:rsidRPr="000800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6252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emisijas, par ko lemj Latvijas Bankas prezidents.</w:t>
            </w:r>
          </w:p>
        </w:tc>
      </w:tr>
      <w:tr w:rsidR="00625207" w:rsidRPr="00B37DD6" w14:paraId="50B1F883" w14:textId="77777777" w:rsidTr="009F5D20">
        <w:tc>
          <w:tcPr>
            <w:tcW w:w="1776" w:type="dxa"/>
          </w:tcPr>
          <w:p w14:paraId="6361431D" w14:textId="6EE28D7A" w:rsidR="00625207" w:rsidRPr="00A47169" w:rsidRDefault="00625207" w:rsidP="00625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Ietekme uz Latvijas Bankas budžetu</w:t>
            </w:r>
          </w:p>
        </w:tc>
        <w:tc>
          <w:tcPr>
            <w:tcW w:w="6520" w:type="dxa"/>
          </w:tcPr>
          <w:p w14:paraId="255889FA" w14:textId="0C669028" w:rsidR="00AF290F" w:rsidRPr="00AF290F" w:rsidRDefault="00625207" w:rsidP="00F81C7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 w:rsidRPr="00337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Ietekme uz </w:t>
            </w:r>
            <w:r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Latvijas Bankas budžetu ir neitrāla (ieņēmumi segs izdevumus). Ieņēmumi no </w:t>
            </w:r>
            <w:r w:rsidR="0008006C" w:rsidRPr="00C9237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v-LV"/>
              </w:rPr>
              <w:t>e</w:t>
            </w:r>
            <w:r w:rsidR="0008006C" w:rsidRPr="00C923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uro</w:t>
            </w:r>
            <w:r w:rsidR="0008006C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 monēt</w:t>
            </w:r>
            <w:r w:rsidR="00C9237B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as</w:t>
            </w:r>
            <w:r w:rsidR="0008006C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"Līgavas vainags" un </w:t>
            </w:r>
            <w:r w:rsidR="0008006C" w:rsidRPr="00C923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v-LV"/>
              </w:rPr>
              <w:t>euro</w:t>
            </w:r>
            <w:r w:rsidR="0008006C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kolekcijas monētu komplekt</w:t>
            </w:r>
            <w:r w:rsidR="00C9237B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a</w:t>
            </w:r>
            <w:r w:rsidR="0008006C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"</w:t>
            </w:r>
            <w:proofErr w:type="spellStart"/>
            <w:r w:rsidR="0008006C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Zelta</w:t>
            </w:r>
            <w:proofErr w:type="spellEnd"/>
            <w:r w:rsidR="0008006C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8006C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sēkliņas</w:t>
            </w:r>
            <w:proofErr w:type="spellEnd"/>
            <w:r w:rsidR="0008006C" w:rsidRPr="00C923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"</w:t>
            </w:r>
            <w:r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pārdošanas iekļauti Latvijas Bankas 202</w:t>
            </w:r>
            <w:r w:rsidR="00684E8B"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6</w:t>
            </w:r>
            <w:r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. gada budžetā. Ar </w:t>
            </w:r>
            <w:r w:rsidR="00C9237B"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attiecīgo m</w:t>
            </w:r>
            <w:r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onēt</w:t>
            </w:r>
            <w:r w:rsidR="001B648D"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u</w:t>
            </w:r>
            <w:r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 izgatavošanu un emisiju saistītie izdevumi iekļauti Latvijas Bankas 202</w:t>
            </w:r>
            <w:r w:rsidR="00684E8B"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6</w:t>
            </w:r>
            <w:r w:rsidRPr="00C92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 gada budžetā.</w:t>
            </w:r>
          </w:p>
        </w:tc>
      </w:tr>
      <w:tr w:rsidR="00625207" w:rsidRPr="00B37DD6" w14:paraId="02C006E3" w14:textId="77777777" w:rsidTr="009F5D20">
        <w:tc>
          <w:tcPr>
            <w:tcW w:w="1776" w:type="dxa"/>
          </w:tcPr>
          <w:p w14:paraId="7342AE48" w14:textId="70254AFB" w:rsidR="00625207" w:rsidRPr="00A47169" w:rsidRDefault="00625207" w:rsidP="00625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Administratīvā sloga un izmaksu novērtējums (tirgus dalībniekiem)</w:t>
            </w:r>
          </w:p>
        </w:tc>
        <w:tc>
          <w:tcPr>
            <w:tcW w:w="6520" w:type="dxa"/>
          </w:tcPr>
          <w:p w14:paraId="150921E3" w14:textId="50C67DB7" w:rsidR="00625207" w:rsidRDefault="00625207" w:rsidP="00F81C7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F23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Projekts nepalielina administratīvo slogu Latvijas Bankas klientiem, kuri iegādājas Monēt</w:t>
            </w:r>
            <w:r w:rsidR="001B64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as</w:t>
            </w:r>
            <w:r w:rsidRPr="00F23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. </w:t>
            </w:r>
          </w:p>
          <w:p w14:paraId="6024E708" w14:textId="7574A78B" w:rsidR="00AF290F" w:rsidRPr="00F14139" w:rsidRDefault="00625207" w:rsidP="00F81C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23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Projekts neveido izmaksu slogu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sabiedrībai vai tirgus dalībniekiem</w:t>
            </w:r>
            <w:r w:rsidRPr="00F23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, jo Projektā paredzēt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o</w:t>
            </w:r>
            <w:r w:rsidRPr="00F23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Latvijas Bankas maksas pakalpojum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u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saņemšana nav obligāti nepieciešama 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person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as pa</w:t>
            </w:r>
            <w:r w:rsidRPr="00CC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mattiesīb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u īstenošanai</w:t>
            </w:r>
            <w:r w:rsidRPr="00FB0C2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</w:tc>
      </w:tr>
      <w:tr w:rsidR="00625207" w:rsidRPr="002323CA" w14:paraId="1C5D8379" w14:textId="77777777" w:rsidTr="009F5D20">
        <w:tc>
          <w:tcPr>
            <w:tcW w:w="1776" w:type="dxa"/>
          </w:tcPr>
          <w:p w14:paraId="1B5441CE" w14:textId="045B126F" w:rsidR="00625207" w:rsidRPr="00A47169" w:rsidRDefault="00625207" w:rsidP="00625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350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Saistītie dokumenti</w:t>
            </w:r>
          </w:p>
        </w:tc>
        <w:tc>
          <w:tcPr>
            <w:tcW w:w="6520" w:type="dxa"/>
          </w:tcPr>
          <w:p w14:paraId="0A6D40D9" w14:textId="36849C0E" w:rsidR="00625207" w:rsidRPr="00206FA5" w:rsidRDefault="00625207" w:rsidP="006252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776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</w:t>
            </w:r>
          </w:p>
        </w:tc>
      </w:tr>
      <w:tr w:rsidR="00625207" w:rsidRPr="00B37DD6" w14:paraId="3C088A2A" w14:textId="77777777" w:rsidTr="009F5D20">
        <w:tc>
          <w:tcPr>
            <w:tcW w:w="1776" w:type="dxa"/>
          </w:tcPr>
          <w:p w14:paraId="6A6BDA19" w14:textId="41869B4E" w:rsidR="00625207" w:rsidRPr="00A47169" w:rsidRDefault="00625207" w:rsidP="00625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Saskaņošana ar Eiropas Centrālo banku</w:t>
            </w:r>
          </w:p>
        </w:tc>
        <w:tc>
          <w:tcPr>
            <w:tcW w:w="6520" w:type="dxa"/>
          </w:tcPr>
          <w:p w14:paraId="469ACF1E" w14:textId="067371AA" w:rsidR="00625207" w:rsidRPr="00AC037A" w:rsidRDefault="00625207" w:rsidP="006252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C03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Projektu nav nepieciešams saskaņot ar Eiropas Centrālo banku.</w:t>
            </w:r>
          </w:p>
        </w:tc>
      </w:tr>
      <w:tr w:rsidR="008A3B98" w:rsidRPr="00B37DD6" w14:paraId="1B4C412F" w14:textId="77777777" w:rsidTr="009F5D20">
        <w:tc>
          <w:tcPr>
            <w:tcW w:w="1776" w:type="dxa"/>
          </w:tcPr>
          <w:p w14:paraId="074EE159" w14:textId="77777777" w:rsidR="008A3B98" w:rsidRPr="00A47169" w:rsidRDefault="008A3B98" w:rsidP="008A3B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Saskaņošana ar citām publiskām un privātām personām</w:t>
            </w:r>
          </w:p>
        </w:tc>
        <w:tc>
          <w:tcPr>
            <w:tcW w:w="6520" w:type="dxa"/>
          </w:tcPr>
          <w:p w14:paraId="75B0D0EE" w14:textId="1181937E" w:rsidR="008A3B98" w:rsidRPr="00B37DD6" w:rsidRDefault="008A3B98" w:rsidP="008A3B9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Noteikumu projekts tika publicēts Latvijas Bankas tīmekļvietnes </w:t>
            </w:r>
            <w:hyperlink r:id="rId10" w:history="1">
              <w:r w:rsidRPr="00A62CDD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val="lv-LV" w:eastAsia="lv-LV"/>
                </w:rPr>
                <w:t>www.bank.lv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sadaļas "Tiesību akti" apakšsadaļā "Sabiedrības līdzdalība", un par to bija iespējama sabiedrības līdzdalība līdz 2026. gada 8. maijam.</w:t>
            </w:r>
          </w:p>
        </w:tc>
      </w:tr>
      <w:tr w:rsidR="008A3B98" w:rsidRPr="00B37DD6" w14:paraId="3A194658" w14:textId="77777777" w:rsidTr="009F5D20">
        <w:tc>
          <w:tcPr>
            <w:tcW w:w="1776" w:type="dxa"/>
          </w:tcPr>
          <w:p w14:paraId="576D7254" w14:textId="77777777" w:rsidR="008A3B98" w:rsidRPr="00A47169" w:rsidRDefault="008A3B98" w:rsidP="008A3B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47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Saskaņošanas rezultāti</w:t>
            </w:r>
          </w:p>
        </w:tc>
        <w:tc>
          <w:tcPr>
            <w:tcW w:w="6520" w:type="dxa"/>
          </w:tcPr>
          <w:p w14:paraId="1CC7DA95" w14:textId="5C96E886" w:rsidR="008A3B98" w:rsidRPr="00577654" w:rsidRDefault="008A3B98" w:rsidP="00F81C7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A9007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Sabiedrības līdzdalības rezultātā par noteikumu projektu netika saņemti iebildumi vai priekšlikumi. Līdz ar to noteikumu projekts saskaņots bez priekšlikumiem vai iebildumiem.</w:t>
            </w:r>
          </w:p>
        </w:tc>
      </w:tr>
    </w:tbl>
    <w:p w14:paraId="21728AE0" w14:textId="77777777" w:rsidR="006E73B1" w:rsidRPr="00206FA5" w:rsidRDefault="006E73B1" w:rsidP="00031FB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6E73B1" w:rsidRPr="00206F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FA71" w14:textId="77777777" w:rsidR="0096515B" w:rsidRDefault="0096515B" w:rsidP="001B4308">
      <w:pPr>
        <w:spacing w:after="0" w:line="240" w:lineRule="auto"/>
      </w:pPr>
      <w:r>
        <w:separator/>
      </w:r>
    </w:p>
  </w:endnote>
  <w:endnote w:type="continuationSeparator" w:id="0">
    <w:p w14:paraId="0747E929" w14:textId="77777777" w:rsidR="0096515B" w:rsidRDefault="0096515B" w:rsidP="001B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A58A" w14:textId="77777777" w:rsidR="0096515B" w:rsidRDefault="0096515B" w:rsidP="001B4308">
      <w:pPr>
        <w:spacing w:after="0" w:line="240" w:lineRule="auto"/>
      </w:pPr>
      <w:r>
        <w:separator/>
      </w:r>
    </w:p>
  </w:footnote>
  <w:footnote w:type="continuationSeparator" w:id="0">
    <w:p w14:paraId="1C87BF5C" w14:textId="77777777" w:rsidR="0096515B" w:rsidRDefault="0096515B" w:rsidP="001B4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F0"/>
    <w:multiLevelType w:val="hybridMultilevel"/>
    <w:tmpl w:val="4C62DBF6"/>
    <w:lvl w:ilvl="0" w:tplc="FF1C9E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3854"/>
    <w:multiLevelType w:val="hybridMultilevel"/>
    <w:tmpl w:val="3964FD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A6CBC"/>
    <w:multiLevelType w:val="hybridMultilevel"/>
    <w:tmpl w:val="7A301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11290"/>
    <w:multiLevelType w:val="hybridMultilevel"/>
    <w:tmpl w:val="C3DAFE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744EE"/>
    <w:multiLevelType w:val="hybridMultilevel"/>
    <w:tmpl w:val="13526CE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214F5"/>
    <w:multiLevelType w:val="hybridMultilevel"/>
    <w:tmpl w:val="14EE5238"/>
    <w:lvl w:ilvl="0" w:tplc="55D2C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4FE3"/>
    <w:multiLevelType w:val="hybridMultilevel"/>
    <w:tmpl w:val="132001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A5D8C"/>
    <w:multiLevelType w:val="multilevel"/>
    <w:tmpl w:val="F41ED60A"/>
    <w:lvl w:ilvl="0">
      <w:start w:val="1"/>
      <w:numFmt w:val="decimal"/>
      <w:pStyle w:val="NAnodal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apaksnodala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BB7D32"/>
    <w:multiLevelType w:val="multilevel"/>
    <w:tmpl w:val="12188A86"/>
    <w:lvl w:ilvl="0">
      <w:start w:val="1"/>
      <w:numFmt w:val="decimal"/>
      <w:pStyle w:val="NApunkt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punkt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punkt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punkt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3490424">
    <w:abstractNumId w:val="5"/>
  </w:num>
  <w:num w:numId="2" w16cid:durableId="780881849">
    <w:abstractNumId w:val="3"/>
  </w:num>
  <w:num w:numId="3" w16cid:durableId="689650883">
    <w:abstractNumId w:val="8"/>
  </w:num>
  <w:num w:numId="4" w16cid:durableId="901796300">
    <w:abstractNumId w:val="6"/>
  </w:num>
  <w:num w:numId="5" w16cid:durableId="1131940480">
    <w:abstractNumId w:val="7"/>
  </w:num>
  <w:num w:numId="6" w16cid:durableId="1014571480">
    <w:abstractNumId w:val="2"/>
  </w:num>
  <w:num w:numId="7" w16cid:durableId="954142251">
    <w:abstractNumId w:val="8"/>
  </w:num>
  <w:num w:numId="8" w16cid:durableId="1571234688">
    <w:abstractNumId w:val="4"/>
  </w:num>
  <w:num w:numId="9" w16cid:durableId="245918260">
    <w:abstractNumId w:val="1"/>
  </w:num>
  <w:num w:numId="10" w16cid:durableId="54888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E7"/>
    <w:rsid w:val="0000316A"/>
    <w:rsid w:val="00007C95"/>
    <w:rsid w:val="00010101"/>
    <w:rsid w:val="00013638"/>
    <w:rsid w:val="00015B2B"/>
    <w:rsid w:val="0002082E"/>
    <w:rsid w:val="000244CC"/>
    <w:rsid w:val="00031FB6"/>
    <w:rsid w:val="00034B5B"/>
    <w:rsid w:val="00036789"/>
    <w:rsid w:val="0004012C"/>
    <w:rsid w:val="00041E15"/>
    <w:rsid w:val="00042A00"/>
    <w:rsid w:val="0004469F"/>
    <w:rsid w:val="000503F8"/>
    <w:rsid w:val="0005198F"/>
    <w:rsid w:val="000537F6"/>
    <w:rsid w:val="000631A8"/>
    <w:rsid w:val="000635E1"/>
    <w:rsid w:val="00063E63"/>
    <w:rsid w:val="00067507"/>
    <w:rsid w:val="000706CE"/>
    <w:rsid w:val="000770AC"/>
    <w:rsid w:val="000774F9"/>
    <w:rsid w:val="0008006C"/>
    <w:rsid w:val="00082055"/>
    <w:rsid w:val="0008319E"/>
    <w:rsid w:val="000864F6"/>
    <w:rsid w:val="000910BF"/>
    <w:rsid w:val="00095DA8"/>
    <w:rsid w:val="000A14FA"/>
    <w:rsid w:val="000A1FF1"/>
    <w:rsid w:val="000A6EBB"/>
    <w:rsid w:val="000B01B8"/>
    <w:rsid w:val="000B0B09"/>
    <w:rsid w:val="000B2BDD"/>
    <w:rsid w:val="000B6049"/>
    <w:rsid w:val="000C1E19"/>
    <w:rsid w:val="000C2926"/>
    <w:rsid w:val="000D7DF6"/>
    <w:rsid w:val="000E15BD"/>
    <w:rsid w:val="000E793A"/>
    <w:rsid w:val="000F1FA1"/>
    <w:rsid w:val="00100997"/>
    <w:rsid w:val="00101A7F"/>
    <w:rsid w:val="00106F4F"/>
    <w:rsid w:val="0010714A"/>
    <w:rsid w:val="001131C3"/>
    <w:rsid w:val="00117581"/>
    <w:rsid w:val="00121F73"/>
    <w:rsid w:val="00122578"/>
    <w:rsid w:val="00124300"/>
    <w:rsid w:val="00125E93"/>
    <w:rsid w:val="00134CDA"/>
    <w:rsid w:val="001455A4"/>
    <w:rsid w:val="00145776"/>
    <w:rsid w:val="00147E34"/>
    <w:rsid w:val="001511B5"/>
    <w:rsid w:val="00151AD3"/>
    <w:rsid w:val="00153088"/>
    <w:rsid w:val="00154BA0"/>
    <w:rsid w:val="001567DB"/>
    <w:rsid w:val="00170EF3"/>
    <w:rsid w:val="001724D4"/>
    <w:rsid w:val="00180078"/>
    <w:rsid w:val="001808FE"/>
    <w:rsid w:val="00182E04"/>
    <w:rsid w:val="00183D44"/>
    <w:rsid w:val="00187F68"/>
    <w:rsid w:val="001919C1"/>
    <w:rsid w:val="00191EAF"/>
    <w:rsid w:val="001930FB"/>
    <w:rsid w:val="001938FA"/>
    <w:rsid w:val="00194577"/>
    <w:rsid w:val="001A04FF"/>
    <w:rsid w:val="001A0B56"/>
    <w:rsid w:val="001A2623"/>
    <w:rsid w:val="001A317E"/>
    <w:rsid w:val="001A7C93"/>
    <w:rsid w:val="001B4308"/>
    <w:rsid w:val="001B648D"/>
    <w:rsid w:val="001C436F"/>
    <w:rsid w:val="001C5010"/>
    <w:rsid w:val="001C6BCE"/>
    <w:rsid w:val="001D19D4"/>
    <w:rsid w:val="001E122C"/>
    <w:rsid w:val="001E4486"/>
    <w:rsid w:val="001E48A4"/>
    <w:rsid w:val="001E70E7"/>
    <w:rsid w:val="001F3772"/>
    <w:rsid w:val="001F6797"/>
    <w:rsid w:val="001F7E9F"/>
    <w:rsid w:val="00206FA5"/>
    <w:rsid w:val="0021619D"/>
    <w:rsid w:val="002161CA"/>
    <w:rsid w:val="00220E3E"/>
    <w:rsid w:val="00221B50"/>
    <w:rsid w:val="002323CA"/>
    <w:rsid w:val="0023408C"/>
    <w:rsid w:val="0023737D"/>
    <w:rsid w:val="00242995"/>
    <w:rsid w:val="00244B8E"/>
    <w:rsid w:val="00245454"/>
    <w:rsid w:val="00245664"/>
    <w:rsid w:val="00245784"/>
    <w:rsid w:val="00247C50"/>
    <w:rsid w:val="002558E6"/>
    <w:rsid w:val="00256035"/>
    <w:rsid w:val="0026015D"/>
    <w:rsid w:val="0026347E"/>
    <w:rsid w:val="00266B71"/>
    <w:rsid w:val="00267D50"/>
    <w:rsid w:val="002733B7"/>
    <w:rsid w:val="002740A7"/>
    <w:rsid w:val="002750FC"/>
    <w:rsid w:val="002829F3"/>
    <w:rsid w:val="002A0303"/>
    <w:rsid w:val="002A1273"/>
    <w:rsid w:val="002A4A23"/>
    <w:rsid w:val="002A7234"/>
    <w:rsid w:val="002B1F71"/>
    <w:rsid w:val="002B2F5E"/>
    <w:rsid w:val="002B68F9"/>
    <w:rsid w:val="002C184E"/>
    <w:rsid w:val="002C2943"/>
    <w:rsid w:val="002C3129"/>
    <w:rsid w:val="002C6B6E"/>
    <w:rsid w:val="002C7B18"/>
    <w:rsid w:val="002F0D2F"/>
    <w:rsid w:val="002F0D45"/>
    <w:rsid w:val="002F3C0A"/>
    <w:rsid w:val="002F5EC0"/>
    <w:rsid w:val="002F6646"/>
    <w:rsid w:val="00304946"/>
    <w:rsid w:val="0030496D"/>
    <w:rsid w:val="00307A83"/>
    <w:rsid w:val="00311BA3"/>
    <w:rsid w:val="00312EE2"/>
    <w:rsid w:val="00313544"/>
    <w:rsid w:val="00314645"/>
    <w:rsid w:val="00314CA7"/>
    <w:rsid w:val="00323A5C"/>
    <w:rsid w:val="00330A01"/>
    <w:rsid w:val="003350A6"/>
    <w:rsid w:val="0033525C"/>
    <w:rsid w:val="00335976"/>
    <w:rsid w:val="003406C9"/>
    <w:rsid w:val="00342F6C"/>
    <w:rsid w:val="00344858"/>
    <w:rsid w:val="00344AFE"/>
    <w:rsid w:val="003450A2"/>
    <w:rsid w:val="00350615"/>
    <w:rsid w:val="00350E16"/>
    <w:rsid w:val="003570DB"/>
    <w:rsid w:val="003605B6"/>
    <w:rsid w:val="0036332A"/>
    <w:rsid w:val="003673A6"/>
    <w:rsid w:val="00371B8F"/>
    <w:rsid w:val="00375EDC"/>
    <w:rsid w:val="00377F5E"/>
    <w:rsid w:val="003837A3"/>
    <w:rsid w:val="0038683A"/>
    <w:rsid w:val="003868B9"/>
    <w:rsid w:val="00387C0B"/>
    <w:rsid w:val="00390239"/>
    <w:rsid w:val="00391A5F"/>
    <w:rsid w:val="00392F4B"/>
    <w:rsid w:val="003A529D"/>
    <w:rsid w:val="003A71DC"/>
    <w:rsid w:val="003B1539"/>
    <w:rsid w:val="003B1EC3"/>
    <w:rsid w:val="003B3853"/>
    <w:rsid w:val="003B757A"/>
    <w:rsid w:val="003B7A60"/>
    <w:rsid w:val="003C33D9"/>
    <w:rsid w:val="003D3665"/>
    <w:rsid w:val="003D4732"/>
    <w:rsid w:val="003D53D6"/>
    <w:rsid w:val="003D54B6"/>
    <w:rsid w:val="003D56B8"/>
    <w:rsid w:val="003D5E77"/>
    <w:rsid w:val="003E0584"/>
    <w:rsid w:val="003E5D4B"/>
    <w:rsid w:val="003F0F27"/>
    <w:rsid w:val="004069C2"/>
    <w:rsid w:val="00411A18"/>
    <w:rsid w:val="00416148"/>
    <w:rsid w:val="00420F09"/>
    <w:rsid w:val="00425CAB"/>
    <w:rsid w:val="004308DA"/>
    <w:rsid w:val="00442C76"/>
    <w:rsid w:val="0045376D"/>
    <w:rsid w:val="00453B44"/>
    <w:rsid w:val="004542D8"/>
    <w:rsid w:val="004625BA"/>
    <w:rsid w:val="00465724"/>
    <w:rsid w:val="00474004"/>
    <w:rsid w:val="00483C1B"/>
    <w:rsid w:val="004865D2"/>
    <w:rsid w:val="00490283"/>
    <w:rsid w:val="00492368"/>
    <w:rsid w:val="004A176F"/>
    <w:rsid w:val="004A345F"/>
    <w:rsid w:val="004A3D58"/>
    <w:rsid w:val="004B071F"/>
    <w:rsid w:val="004B1584"/>
    <w:rsid w:val="004B4FE2"/>
    <w:rsid w:val="004B54AE"/>
    <w:rsid w:val="004B608F"/>
    <w:rsid w:val="004C17D1"/>
    <w:rsid w:val="004C1C26"/>
    <w:rsid w:val="004C3F31"/>
    <w:rsid w:val="004D2DFB"/>
    <w:rsid w:val="004D57E6"/>
    <w:rsid w:val="004E5641"/>
    <w:rsid w:val="004E5F30"/>
    <w:rsid w:val="004E6E48"/>
    <w:rsid w:val="004F0D87"/>
    <w:rsid w:val="004F2388"/>
    <w:rsid w:val="005121C8"/>
    <w:rsid w:val="00513AB3"/>
    <w:rsid w:val="00513B29"/>
    <w:rsid w:val="005149EA"/>
    <w:rsid w:val="00531451"/>
    <w:rsid w:val="005324E0"/>
    <w:rsid w:val="00534DC1"/>
    <w:rsid w:val="0053697B"/>
    <w:rsid w:val="00536D26"/>
    <w:rsid w:val="005372CA"/>
    <w:rsid w:val="00537D11"/>
    <w:rsid w:val="00543A42"/>
    <w:rsid w:val="0054421D"/>
    <w:rsid w:val="00550913"/>
    <w:rsid w:val="00565901"/>
    <w:rsid w:val="005670F6"/>
    <w:rsid w:val="00573C65"/>
    <w:rsid w:val="00577654"/>
    <w:rsid w:val="00581F3A"/>
    <w:rsid w:val="00582270"/>
    <w:rsid w:val="005834D6"/>
    <w:rsid w:val="0058473F"/>
    <w:rsid w:val="005911B1"/>
    <w:rsid w:val="00592A91"/>
    <w:rsid w:val="005935E0"/>
    <w:rsid w:val="0059754E"/>
    <w:rsid w:val="005A1F35"/>
    <w:rsid w:val="005A496E"/>
    <w:rsid w:val="005B0268"/>
    <w:rsid w:val="005B0B90"/>
    <w:rsid w:val="005B1839"/>
    <w:rsid w:val="005B2351"/>
    <w:rsid w:val="005B70F2"/>
    <w:rsid w:val="005C0CA8"/>
    <w:rsid w:val="005C5E31"/>
    <w:rsid w:val="005D03B5"/>
    <w:rsid w:val="005D28B9"/>
    <w:rsid w:val="005D590C"/>
    <w:rsid w:val="005E0B3F"/>
    <w:rsid w:val="005E69ED"/>
    <w:rsid w:val="005E7EE0"/>
    <w:rsid w:val="005F3C00"/>
    <w:rsid w:val="005F47C9"/>
    <w:rsid w:val="005F6AEA"/>
    <w:rsid w:val="00601EFC"/>
    <w:rsid w:val="00610F64"/>
    <w:rsid w:val="00611126"/>
    <w:rsid w:val="00613DA6"/>
    <w:rsid w:val="00621CFD"/>
    <w:rsid w:val="00622787"/>
    <w:rsid w:val="00625207"/>
    <w:rsid w:val="00625F31"/>
    <w:rsid w:val="006319D3"/>
    <w:rsid w:val="006373A4"/>
    <w:rsid w:val="006474DD"/>
    <w:rsid w:val="00653D49"/>
    <w:rsid w:val="00654810"/>
    <w:rsid w:val="00655E55"/>
    <w:rsid w:val="006600A2"/>
    <w:rsid w:val="00660203"/>
    <w:rsid w:val="0066201C"/>
    <w:rsid w:val="00665721"/>
    <w:rsid w:val="00666100"/>
    <w:rsid w:val="00666125"/>
    <w:rsid w:val="006729A1"/>
    <w:rsid w:val="0067411C"/>
    <w:rsid w:val="006763A0"/>
    <w:rsid w:val="00677741"/>
    <w:rsid w:val="006778E9"/>
    <w:rsid w:val="006807FD"/>
    <w:rsid w:val="00681805"/>
    <w:rsid w:val="00683928"/>
    <w:rsid w:val="00684E8B"/>
    <w:rsid w:val="00694213"/>
    <w:rsid w:val="006952AB"/>
    <w:rsid w:val="0069600F"/>
    <w:rsid w:val="006A1F55"/>
    <w:rsid w:val="006A3E27"/>
    <w:rsid w:val="006B3EEA"/>
    <w:rsid w:val="006B523B"/>
    <w:rsid w:val="006B6C9C"/>
    <w:rsid w:val="006B7810"/>
    <w:rsid w:val="006C01B6"/>
    <w:rsid w:val="006C0368"/>
    <w:rsid w:val="006C1B19"/>
    <w:rsid w:val="006C46E3"/>
    <w:rsid w:val="006C679A"/>
    <w:rsid w:val="006C782C"/>
    <w:rsid w:val="006D1FA5"/>
    <w:rsid w:val="006D5BB2"/>
    <w:rsid w:val="006D6B19"/>
    <w:rsid w:val="006E2ADC"/>
    <w:rsid w:val="006E4B14"/>
    <w:rsid w:val="006E60BF"/>
    <w:rsid w:val="006E73B1"/>
    <w:rsid w:val="006F1124"/>
    <w:rsid w:val="006F1D6B"/>
    <w:rsid w:val="006F24A3"/>
    <w:rsid w:val="006F6685"/>
    <w:rsid w:val="00700159"/>
    <w:rsid w:val="00711BF5"/>
    <w:rsid w:val="007134E5"/>
    <w:rsid w:val="00713524"/>
    <w:rsid w:val="007156C9"/>
    <w:rsid w:val="00716CE3"/>
    <w:rsid w:val="00723A67"/>
    <w:rsid w:val="00730A6D"/>
    <w:rsid w:val="00732F19"/>
    <w:rsid w:val="00737BD5"/>
    <w:rsid w:val="00740D24"/>
    <w:rsid w:val="00740EE6"/>
    <w:rsid w:val="00742A16"/>
    <w:rsid w:val="00746056"/>
    <w:rsid w:val="00747B1C"/>
    <w:rsid w:val="00750725"/>
    <w:rsid w:val="00751BDC"/>
    <w:rsid w:val="00753602"/>
    <w:rsid w:val="00754922"/>
    <w:rsid w:val="007576FE"/>
    <w:rsid w:val="00757FD5"/>
    <w:rsid w:val="00762D03"/>
    <w:rsid w:val="00766295"/>
    <w:rsid w:val="00766F29"/>
    <w:rsid w:val="007671F4"/>
    <w:rsid w:val="00767B6D"/>
    <w:rsid w:val="00770CA0"/>
    <w:rsid w:val="00772400"/>
    <w:rsid w:val="00774476"/>
    <w:rsid w:val="007763EB"/>
    <w:rsid w:val="00780AE7"/>
    <w:rsid w:val="00783FB9"/>
    <w:rsid w:val="00787F78"/>
    <w:rsid w:val="0079092A"/>
    <w:rsid w:val="00790FCC"/>
    <w:rsid w:val="00791CFD"/>
    <w:rsid w:val="007931CA"/>
    <w:rsid w:val="00794265"/>
    <w:rsid w:val="00795D3C"/>
    <w:rsid w:val="007A30F5"/>
    <w:rsid w:val="007A4AC6"/>
    <w:rsid w:val="007B199A"/>
    <w:rsid w:val="007B3DD5"/>
    <w:rsid w:val="007B489E"/>
    <w:rsid w:val="007B4C1A"/>
    <w:rsid w:val="007C6E96"/>
    <w:rsid w:val="007C79E5"/>
    <w:rsid w:val="007E4BFD"/>
    <w:rsid w:val="007E52DC"/>
    <w:rsid w:val="007F3329"/>
    <w:rsid w:val="00803B37"/>
    <w:rsid w:val="008040F2"/>
    <w:rsid w:val="00804F99"/>
    <w:rsid w:val="008054F1"/>
    <w:rsid w:val="00812B51"/>
    <w:rsid w:val="00812F3B"/>
    <w:rsid w:val="008137DF"/>
    <w:rsid w:val="00813CB8"/>
    <w:rsid w:val="00836CA0"/>
    <w:rsid w:val="0084021F"/>
    <w:rsid w:val="0084039E"/>
    <w:rsid w:val="00840BC1"/>
    <w:rsid w:val="008418D5"/>
    <w:rsid w:val="008423BF"/>
    <w:rsid w:val="00847211"/>
    <w:rsid w:val="00851E87"/>
    <w:rsid w:val="00852C19"/>
    <w:rsid w:val="00852EC5"/>
    <w:rsid w:val="00854419"/>
    <w:rsid w:val="00855E1F"/>
    <w:rsid w:val="00857518"/>
    <w:rsid w:val="008603FD"/>
    <w:rsid w:val="008613F4"/>
    <w:rsid w:val="008614B9"/>
    <w:rsid w:val="0086207C"/>
    <w:rsid w:val="008621FC"/>
    <w:rsid w:val="00864436"/>
    <w:rsid w:val="00872DA7"/>
    <w:rsid w:val="0087362A"/>
    <w:rsid w:val="00876CC9"/>
    <w:rsid w:val="00884A94"/>
    <w:rsid w:val="00885FFB"/>
    <w:rsid w:val="00890111"/>
    <w:rsid w:val="0089206F"/>
    <w:rsid w:val="0089681D"/>
    <w:rsid w:val="008A27BC"/>
    <w:rsid w:val="008A3914"/>
    <w:rsid w:val="008A3B98"/>
    <w:rsid w:val="008A41E7"/>
    <w:rsid w:val="008A7292"/>
    <w:rsid w:val="008A7917"/>
    <w:rsid w:val="008B6380"/>
    <w:rsid w:val="008B6748"/>
    <w:rsid w:val="008C2572"/>
    <w:rsid w:val="008C5EE1"/>
    <w:rsid w:val="008C7227"/>
    <w:rsid w:val="008D73C5"/>
    <w:rsid w:val="008D7B41"/>
    <w:rsid w:val="008E2DC3"/>
    <w:rsid w:val="008E3DDD"/>
    <w:rsid w:val="008F0D98"/>
    <w:rsid w:val="008F1AB6"/>
    <w:rsid w:val="008F4F07"/>
    <w:rsid w:val="008F6112"/>
    <w:rsid w:val="008F707F"/>
    <w:rsid w:val="00904F27"/>
    <w:rsid w:val="00904F65"/>
    <w:rsid w:val="009051D0"/>
    <w:rsid w:val="00905D28"/>
    <w:rsid w:val="0090663F"/>
    <w:rsid w:val="00907173"/>
    <w:rsid w:val="00910318"/>
    <w:rsid w:val="00912970"/>
    <w:rsid w:val="00917054"/>
    <w:rsid w:val="009174F9"/>
    <w:rsid w:val="00920889"/>
    <w:rsid w:val="009221C0"/>
    <w:rsid w:val="00925A67"/>
    <w:rsid w:val="00925AA9"/>
    <w:rsid w:val="00925ED3"/>
    <w:rsid w:val="00947327"/>
    <w:rsid w:val="0095308E"/>
    <w:rsid w:val="009533F0"/>
    <w:rsid w:val="00955F25"/>
    <w:rsid w:val="0095720A"/>
    <w:rsid w:val="0095751D"/>
    <w:rsid w:val="00957E12"/>
    <w:rsid w:val="00960FEB"/>
    <w:rsid w:val="009639A1"/>
    <w:rsid w:val="00964492"/>
    <w:rsid w:val="0096515B"/>
    <w:rsid w:val="00965980"/>
    <w:rsid w:val="00972C41"/>
    <w:rsid w:val="0097364C"/>
    <w:rsid w:val="0097536C"/>
    <w:rsid w:val="009776B3"/>
    <w:rsid w:val="009779E9"/>
    <w:rsid w:val="00980250"/>
    <w:rsid w:val="009846E7"/>
    <w:rsid w:val="0098557E"/>
    <w:rsid w:val="009928F4"/>
    <w:rsid w:val="00993099"/>
    <w:rsid w:val="0099739F"/>
    <w:rsid w:val="009A3F2E"/>
    <w:rsid w:val="009A4233"/>
    <w:rsid w:val="009A5269"/>
    <w:rsid w:val="009A708C"/>
    <w:rsid w:val="009B266F"/>
    <w:rsid w:val="009C0354"/>
    <w:rsid w:val="009C03C6"/>
    <w:rsid w:val="009C2E72"/>
    <w:rsid w:val="009C3C82"/>
    <w:rsid w:val="009C52F0"/>
    <w:rsid w:val="009C5D80"/>
    <w:rsid w:val="009D3F2E"/>
    <w:rsid w:val="009D4CF5"/>
    <w:rsid w:val="009D5BE6"/>
    <w:rsid w:val="009E07D9"/>
    <w:rsid w:val="009E134E"/>
    <w:rsid w:val="009E44CE"/>
    <w:rsid w:val="009E45E1"/>
    <w:rsid w:val="009E4A5A"/>
    <w:rsid w:val="009E5C3A"/>
    <w:rsid w:val="009F31AE"/>
    <w:rsid w:val="009F3692"/>
    <w:rsid w:val="009F5D20"/>
    <w:rsid w:val="00A014C1"/>
    <w:rsid w:val="00A018D5"/>
    <w:rsid w:val="00A01F92"/>
    <w:rsid w:val="00A03C1F"/>
    <w:rsid w:val="00A04EF7"/>
    <w:rsid w:val="00A0574D"/>
    <w:rsid w:val="00A05C2D"/>
    <w:rsid w:val="00A06404"/>
    <w:rsid w:val="00A1038A"/>
    <w:rsid w:val="00A11065"/>
    <w:rsid w:val="00A11EBE"/>
    <w:rsid w:val="00A149DF"/>
    <w:rsid w:val="00A240F0"/>
    <w:rsid w:val="00A307BD"/>
    <w:rsid w:val="00A33912"/>
    <w:rsid w:val="00A34147"/>
    <w:rsid w:val="00A356D5"/>
    <w:rsid w:val="00A47169"/>
    <w:rsid w:val="00A507F9"/>
    <w:rsid w:val="00A51AD1"/>
    <w:rsid w:val="00A53760"/>
    <w:rsid w:val="00A55314"/>
    <w:rsid w:val="00A553A8"/>
    <w:rsid w:val="00A63583"/>
    <w:rsid w:val="00A6604B"/>
    <w:rsid w:val="00A67281"/>
    <w:rsid w:val="00A72051"/>
    <w:rsid w:val="00A731F2"/>
    <w:rsid w:val="00A7630A"/>
    <w:rsid w:val="00A77F94"/>
    <w:rsid w:val="00A844ED"/>
    <w:rsid w:val="00A8749A"/>
    <w:rsid w:val="00A92319"/>
    <w:rsid w:val="00A929EA"/>
    <w:rsid w:val="00A96625"/>
    <w:rsid w:val="00AA2BEB"/>
    <w:rsid w:val="00AA425B"/>
    <w:rsid w:val="00AB22D8"/>
    <w:rsid w:val="00AC00FD"/>
    <w:rsid w:val="00AC037A"/>
    <w:rsid w:val="00AC3F55"/>
    <w:rsid w:val="00AC5CC9"/>
    <w:rsid w:val="00AC7B5F"/>
    <w:rsid w:val="00AD12F5"/>
    <w:rsid w:val="00AD1F5F"/>
    <w:rsid w:val="00AD2FC3"/>
    <w:rsid w:val="00AD5A3D"/>
    <w:rsid w:val="00AD5AEC"/>
    <w:rsid w:val="00AE0DA6"/>
    <w:rsid w:val="00AE4129"/>
    <w:rsid w:val="00AF07D5"/>
    <w:rsid w:val="00AF290F"/>
    <w:rsid w:val="00B02F84"/>
    <w:rsid w:val="00B05FC5"/>
    <w:rsid w:val="00B1413E"/>
    <w:rsid w:val="00B17992"/>
    <w:rsid w:val="00B23239"/>
    <w:rsid w:val="00B2520F"/>
    <w:rsid w:val="00B25DC1"/>
    <w:rsid w:val="00B3275F"/>
    <w:rsid w:val="00B328E1"/>
    <w:rsid w:val="00B32B0C"/>
    <w:rsid w:val="00B34FF7"/>
    <w:rsid w:val="00B37DD6"/>
    <w:rsid w:val="00B41C15"/>
    <w:rsid w:val="00B43F31"/>
    <w:rsid w:val="00B46A01"/>
    <w:rsid w:val="00B506E3"/>
    <w:rsid w:val="00B50885"/>
    <w:rsid w:val="00B52D7E"/>
    <w:rsid w:val="00B549A4"/>
    <w:rsid w:val="00B5649C"/>
    <w:rsid w:val="00B57563"/>
    <w:rsid w:val="00B63506"/>
    <w:rsid w:val="00B66B1B"/>
    <w:rsid w:val="00B72DF3"/>
    <w:rsid w:val="00B74295"/>
    <w:rsid w:val="00B76313"/>
    <w:rsid w:val="00B83F2D"/>
    <w:rsid w:val="00B915AF"/>
    <w:rsid w:val="00B95724"/>
    <w:rsid w:val="00B972DA"/>
    <w:rsid w:val="00BA0613"/>
    <w:rsid w:val="00BA2DCD"/>
    <w:rsid w:val="00BA3A99"/>
    <w:rsid w:val="00BA5176"/>
    <w:rsid w:val="00BA7C40"/>
    <w:rsid w:val="00BB2AA4"/>
    <w:rsid w:val="00BB4E79"/>
    <w:rsid w:val="00BC1B60"/>
    <w:rsid w:val="00BC4162"/>
    <w:rsid w:val="00BC44E1"/>
    <w:rsid w:val="00BC4C33"/>
    <w:rsid w:val="00BC6455"/>
    <w:rsid w:val="00BD046B"/>
    <w:rsid w:val="00BD344F"/>
    <w:rsid w:val="00BD4285"/>
    <w:rsid w:val="00BD6646"/>
    <w:rsid w:val="00BD76DC"/>
    <w:rsid w:val="00BF28CE"/>
    <w:rsid w:val="00BF2A90"/>
    <w:rsid w:val="00BF401C"/>
    <w:rsid w:val="00BF4394"/>
    <w:rsid w:val="00BF61F7"/>
    <w:rsid w:val="00BF6590"/>
    <w:rsid w:val="00C039CD"/>
    <w:rsid w:val="00C05D51"/>
    <w:rsid w:val="00C061FB"/>
    <w:rsid w:val="00C103CD"/>
    <w:rsid w:val="00C10845"/>
    <w:rsid w:val="00C11599"/>
    <w:rsid w:val="00C115EA"/>
    <w:rsid w:val="00C17CDB"/>
    <w:rsid w:val="00C221AC"/>
    <w:rsid w:val="00C32912"/>
    <w:rsid w:val="00C3433C"/>
    <w:rsid w:val="00C34472"/>
    <w:rsid w:val="00C46164"/>
    <w:rsid w:val="00C50563"/>
    <w:rsid w:val="00C54DFD"/>
    <w:rsid w:val="00C65323"/>
    <w:rsid w:val="00C65CEB"/>
    <w:rsid w:val="00C65E8A"/>
    <w:rsid w:val="00C76CEC"/>
    <w:rsid w:val="00C85C4B"/>
    <w:rsid w:val="00C86548"/>
    <w:rsid w:val="00C86616"/>
    <w:rsid w:val="00C87C67"/>
    <w:rsid w:val="00C9237B"/>
    <w:rsid w:val="00C92764"/>
    <w:rsid w:val="00C942FD"/>
    <w:rsid w:val="00C946C6"/>
    <w:rsid w:val="00C9524E"/>
    <w:rsid w:val="00C97726"/>
    <w:rsid w:val="00CA2074"/>
    <w:rsid w:val="00CA4381"/>
    <w:rsid w:val="00CA528D"/>
    <w:rsid w:val="00CA6713"/>
    <w:rsid w:val="00CA7399"/>
    <w:rsid w:val="00CB08DF"/>
    <w:rsid w:val="00CC0A7B"/>
    <w:rsid w:val="00CC2665"/>
    <w:rsid w:val="00CC26F3"/>
    <w:rsid w:val="00CC38B2"/>
    <w:rsid w:val="00CC3D7B"/>
    <w:rsid w:val="00CC4FCF"/>
    <w:rsid w:val="00CC5AD0"/>
    <w:rsid w:val="00CC688C"/>
    <w:rsid w:val="00CD2694"/>
    <w:rsid w:val="00CD28D1"/>
    <w:rsid w:val="00CD2E89"/>
    <w:rsid w:val="00CD7DB6"/>
    <w:rsid w:val="00CE0CA3"/>
    <w:rsid w:val="00CE268C"/>
    <w:rsid w:val="00CE36C0"/>
    <w:rsid w:val="00CE63D3"/>
    <w:rsid w:val="00CF23FA"/>
    <w:rsid w:val="00CF2B7D"/>
    <w:rsid w:val="00CF3870"/>
    <w:rsid w:val="00CF4FE8"/>
    <w:rsid w:val="00CF5D46"/>
    <w:rsid w:val="00D05DD7"/>
    <w:rsid w:val="00D16A8C"/>
    <w:rsid w:val="00D20CE2"/>
    <w:rsid w:val="00D23A1B"/>
    <w:rsid w:val="00D2512C"/>
    <w:rsid w:val="00D2633D"/>
    <w:rsid w:val="00D35406"/>
    <w:rsid w:val="00D379CC"/>
    <w:rsid w:val="00D469FA"/>
    <w:rsid w:val="00D47539"/>
    <w:rsid w:val="00D47AA3"/>
    <w:rsid w:val="00D5071D"/>
    <w:rsid w:val="00D549ED"/>
    <w:rsid w:val="00D644B7"/>
    <w:rsid w:val="00D65901"/>
    <w:rsid w:val="00D66CFC"/>
    <w:rsid w:val="00D677E9"/>
    <w:rsid w:val="00D67D63"/>
    <w:rsid w:val="00D71845"/>
    <w:rsid w:val="00D72781"/>
    <w:rsid w:val="00D74354"/>
    <w:rsid w:val="00D74BB7"/>
    <w:rsid w:val="00D76941"/>
    <w:rsid w:val="00D76EFC"/>
    <w:rsid w:val="00D825CC"/>
    <w:rsid w:val="00D85C76"/>
    <w:rsid w:val="00D877DF"/>
    <w:rsid w:val="00D906F0"/>
    <w:rsid w:val="00D91F99"/>
    <w:rsid w:val="00D94D6B"/>
    <w:rsid w:val="00D95A55"/>
    <w:rsid w:val="00DA7932"/>
    <w:rsid w:val="00DA7EE8"/>
    <w:rsid w:val="00DB1245"/>
    <w:rsid w:val="00DB158A"/>
    <w:rsid w:val="00DB7B9B"/>
    <w:rsid w:val="00DC4C63"/>
    <w:rsid w:val="00DC74DF"/>
    <w:rsid w:val="00DD1809"/>
    <w:rsid w:val="00DD46EC"/>
    <w:rsid w:val="00DD6087"/>
    <w:rsid w:val="00DD6679"/>
    <w:rsid w:val="00DD76C8"/>
    <w:rsid w:val="00DE1A7B"/>
    <w:rsid w:val="00DE3B85"/>
    <w:rsid w:val="00DF02A6"/>
    <w:rsid w:val="00DF0CF4"/>
    <w:rsid w:val="00DF64F6"/>
    <w:rsid w:val="00DF6919"/>
    <w:rsid w:val="00E02628"/>
    <w:rsid w:val="00E14F24"/>
    <w:rsid w:val="00E16E00"/>
    <w:rsid w:val="00E20689"/>
    <w:rsid w:val="00E21388"/>
    <w:rsid w:val="00E30343"/>
    <w:rsid w:val="00E3202C"/>
    <w:rsid w:val="00E3401C"/>
    <w:rsid w:val="00E3413D"/>
    <w:rsid w:val="00E36429"/>
    <w:rsid w:val="00E432AB"/>
    <w:rsid w:val="00E433FE"/>
    <w:rsid w:val="00E459C6"/>
    <w:rsid w:val="00E518EE"/>
    <w:rsid w:val="00E53744"/>
    <w:rsid w:val="00E553F4"/>
    <w:rsid w:val="00E55E80"/>
    <w:rsid w:val="00E5651F"/>
    <w:rsid w:val="00E60B3A"/>
    <w:rsid w:val="00E62546"/>
    <w:rsid w:val="00E63980"/>
    <w:rsid w:val="00E63DA0"/>
    <w:rsid w:val="00E6525B"/>
    <w:rsid w:val="00E6661F"/>
    <w:rsid w:val="00E679B6"/>
    <w:rsid w:val="00E73D27"/>
    <w:rsid w:val="00E77D68"/>
    <w:rsid w:val="00E80B5D"/>
    <w:rsid w:val="00E819D3"/>
    <w:rsid w:val="00E82087"/>
    <w:rsid w:val="00E866DF"/>
    <w:rsid w:val="00E87A3D"/>
    <w:rsid w:val="00E90C00"/>
    <w:rsid w:val="00E95F5E"/>
    <w:rsid w:val="00EA0203"/>
    <w:rsid w:val="00EA1BA7"/>
    <w:rsid w:val="00EA2771"/>
    <w:rsid w:val="00EB2E7C"/>
    <w:rsid w:val="00EB3013"/>
    <w:rsid w:val="00EB459D"/>
    <w:rsid w:val="00EB493A"/>
    <w:rsid w:val="00EB61B1"/>
    <w:rsid w:val="00EB6E23"/>
    <w:rsid w:val="00EC1D84"/>
    <w:rsid w:val="00EC5057"/>
    <w:rsid w:val="00EC6803"/>
    <w:rsid w:val="00EC682C"/>
    <w:rsid w:val="00ED02B6"/>
    <w:rsid w:val="00ED0932"/>
    <w:rsid w:val="00ED2456"/>
    <w:rsid w:val="00ED3BD0"/>
    <w:rsid w:val="00ED4121"/>
    <w:rsid w:val="00ED73CE"/>
    <w:rsid w:val="00EE1256"/>
    <w:rsid w:val="00EE1B36"/>
    <w:rsid w:val="00EE1B41"/>
    <w:rsid w:val="00EE5017"/>
    <w:rsid w:val="00EE572C"/>
    <w:rsid w:val="00EF06B7"/>
    <w:rsid w:val="00EF0848"/>
    <w:rsid w:val="00EF31F2"/>
    <w:rsid w:val="00EF6CAC"/>
    <w:rsid w:val="00F002DC"/>
    <w:rsid w:val="00F01E4C"/>
    <w:rsid w:val="00F04DC0"/>
    <w:rsid w:val="00F06041"/>
    <w:rsid w:val="00F11E18"/>
    <w:rsid w:val="00F11E48"/>
    <w:rsid w:val="00F14139"/>
    <w:rsid w:val="00F16E5C"/>
    <w:rsid w:val="00F177A8"/>
    <w:rsid w:val="00F1785C"/>
    <w:rsid w:val="00F236A3"/>
    <w:rsid w:val="00F23D59"/>
    <w:rsid w:val="00F263AB"/>
    <w:rsid w:val="00F306E0"/>
    <w:rsid w:val="00F33792"/>
    <w:rsid w:val="00F413C9"/>
    <w:rsid w:val="00F44F29"/>
    <w:rsid w:val="00F52F31"/>
    <w:rsid w:val="00F64C2A"/>
    <w:rsid w:val="00F6543D"/>
    <w:rsid w:val="00F65978"/>
    <w:rsid w:val="00F674D4"/>
    <w:rsid w:val="00F67AF7"/>
    <w:rsid w:val="00F67F54"/>
    <w:rsid w:val="00F743C2"/>
    <w:rsid w:val="00F76E1C"/>
    <w:rsid w:val="00F81C7A"/>
    <w:rsid w:val="00F837FC"/>
    <w:rsid w:val="00F8475F"/>
    <w:rsid w:val="00F84D0C"/>
    <w:rsid w:val="00F87118"/>
    <w:rsid w:val="00F90C56"/>
    <w:rsid w:val="00F92E15"/>
    <w:rsid w:val="00F964DC"/>
    <w:rsid w:val="00F97382"/>
    <w:rsid w:val="00FA1222"/>
    <w:rsid w:val="00FA5059"/>
    <w:rsid w:val="00FB0C27"/>
    <w:rsid w:val="00FC5ECA"/>
    <w:rsid w:val="00FC6E2B"/>
    <w:rsid w:val="00FD2EB9"/>
    <w:rsid w:val="00FD313E"/>
    <w:rsid w:val="00FD32E2"/>
    <w:rsid w:val="00FD55E5"/>
    <w:rsid w:val="00FD7F1C"/>
    <w:rsid w:val="00FE3023"/>
    <w:rsid w:val="00FE43E8"/>
    <w:rsid w:val="00FF1A76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1E7F"/>
  <w15:chartTrackingRefBased/>
  <w15:docId w15:val="{619DEBE5-2221-4B53-82EF-C973DDD9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46E7"/>
    <w:rPr>
      <w:lang w:val="ru-RU"/>
    </w:rPr>
  </w:style>
  <w:style w:type="paragraph" w:styleId="Virsraksts2">
    <w:name w:val="heading 2"/>
    <w:basedOn w:val="Parasts"/>
    <w:link w:val="Virsraksts2Rakstz"/>
    <w:uiPriority w:val="9"/>
    <w:qFormat/>
    <w:rsid w:val="00377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846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Akapit z listą BS,Bullet 1,Bullet Points,Dot pt,F5 List Paragraph,IFCL - List Paragraph,Indicator Text,List Paragraph Char Char Char,List Paragraph1,List Paragraph12,MAIN CONTENT,Numbered Para 1,OBC Bullet,Punkti ar numuriem,Strip"/>
    <w:basedOn w:val="Parasts"/>
    <w:link w:val="SarakstarindkopaRakstz"/>
    <w:uiPriority w:val="34"/>
    <w:qFormat/>
    <w:rsid w:val="009846E7"/>
    <w:pPr>
      <w:ind w:left="720"/>
      <w:contextualSpacing/>
    </w:pPr>
  </w:style>
  <w:style w:type="character" w:customStyle="1" w:styleId="boldface">
    <w:name w:val="boldface"/>
    <w:basedOn w:val="Noklusjumarindkopasfonts"/>
    <w:rsid w:val="00803B37"/>
  </w:style>
  <w:style w:type="character" w:styleId="Hipersaite">
    <w:name w:val="Hyperlink"/>
    <w:basedOn w:val="Noklusjumarindkopasfonts"/>
    <w:uiPriority w:val="99"/>
    <w:unhideWhenUsed/>
    <w:rsid w:val="00803B37"/>
    <w:rPr>
      <w:color w:val="0000FF"/>
      <w:u w:val="single"/>
    </w:rPr>
  </w:style>
  <w:style w:type="paragraph" w:customStyle="1" w:styleId="pf0">
    <w:name w:val="pf0"/>
    <w:basedOn w:val="Parasts"/>
    <w:rsid w:val="00F6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cf01">
    <w:name w:val="cf01"/>
    <w:basedOn w:val="Noklusjumarindkopasfonts"/>
    <w:rsid w:val="00F6543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oklusjumarindkopasfonts"/>
    <w:rsid w:val="00F6543D"/>
    <w:rPr>
      <w:rFonts w:ascii="Segoe UI" w:hAnsi="Segoe UI" w:cs="Segoe UI" w:hint="default"/>
      <w:i/>
      <w:iCs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B2323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23239"/>
    <w:pPr>
      <w:spacing w:after="0" w:line="240" w:lineRule="auto"/>
    </w:pPr>
    <w:rPr>
      <w:rFonts w:ascii="Times New Roman" w:eastAsiaTheme="minorEastAsia" w:hAnsi="Times New Roman"/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23239"/>
    <w:rPr>
      <w:rFonts w:ascii="Times New Roman" w:eastAsiaTheme="minorEastAsia" w:hAnsi="Times New Roman"/>
      <w:sz w:val="20"/>
      <w:szCs w:val="20"/>
      <w:lang w:eastAsia="lv-LV"/>
    </w:rPr>
  </w:style>
  <w:style w:type="paragraph" w:customStyle="1" w:styleId="NApunkts1">
    <w:name w:val="NA punkts 1"/>
    <w:basedOn w:val="Parasts"/>
    <w:link w:val="NApunkts1Rakstz"/>
    <w:qFormat/>
    <w:rsid w:val="00513B29"/>
    <w:pPr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NApunkts1Rakstz">
    <w:name w:val="NA punkts 1 Rakstz."/>
    <w:basedOn w:val="Noklusjumarindkopasfonts"/>
    <w:link w:val="NApunkts1"/>
    <w:rsid w:val="00513B2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punkts2">
    <w:name w:val="NA punkts 2"/>
    <w:basedOn w:val="Parasts"/>
    <w:qFormat/>
    <w:rsid w:val="00513B29"/>
    <w:pPr>
      <w:keepLines/>
      <w:numPr>
        <w:ilvl w:val="1"/>
        <w:numId w:val="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NApunkts3">
    <w:name w:val="NA punkts 3"/>
    <w:basedOn w:val="Parasts"/>
    <w:qFormat/>
    <w:rsid w:val="00513B29"/>
    <w:pPr>
      <w:keepLines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NApunkts4">
    <w:name w:val="NA punkts 4"/>
    <w:basedOn w:val="Parasts"/>
    <w:qFormat/>
    <w:rsid w:val="00513B29"/>
    <w:pPr>
      <w:keepLines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Izteiksmgs">
    <w:name w:val="Strong"/>
    <w:basedOn w:val="Noklusjumarindkopasfonts"/>
    <w:uiPriority w:val="22"/>
    <w:qFormat/>
    <w:rsid w:val="00A553A8"/>
    <w:rPr>
      <w:b/>
      <w:b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77F5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3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indent-1">
    <w:name w:val="indent-1"/>
    <w:basedOn w:val="Parasts"/>
    <w:rsid w:val="003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paragraph-hierarchy">
    <w:name w:val="paragraph-hierarchy"/>
    <w:basedOn w:val="Noklusjumarindkopasfonts"/>
    <w:rsid w:val="00377F5E"/>
  </w:style>
  <w:style w:type="character" w:customStyle="1" w:styleId="paren">
    <w:name w:val="paren"/>
    <w:basedOn w:val="Noklusjumarindkopasfonts"/>
    <w:rsid w:val="00377F5E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1785C"/>
    <w:pPr>
      <w:spacing w:after="160"/>
    </w:pPr>
    <w:rPr>
      <w:rFonts w:asciiTheme="minorHAnsi" w:eastAsiaTheme="minorHAnsi" w:hAnsiTheme="minorHAnsi"/>
      <w:b/>
      <w:bCs/>
      <w:lang w:val="ru-RU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1785C"/>
    <w:rPr>
      <w:rFonts w:ascii="Times New Roman" w:eastAsiaTheme="minorEastAsia" w:hAnsi="Times New Roman"/>
      <w:b/>
      <w:bCs/>
      <w:sz w:val="20"/>
      <w:szCs w:val="20"/>
      <w:lang w:val="ru-RU" w:eastAsia="lv-LV"/>
    </w:rPr>
  </w:style>
  <w:style w:type="paragraph" w:customStyle="1" w:styleId="NAnodala">
    <w:name w:val="NA nodala"/>
    <w:basedOn w:val="Parasts"/>
    <w:next w:val="NApunkts1"/>
    <w:autoRedefine/>
    <w:qFormat/>
    <w:rsid w:val="008614B9"/>
    <w:pPr>
      <w:keepNext/>
      <w:keepLines/>
      <w:numPr>
        <w:numId w:val="5"/>
      </w:numPr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lv-LV" w:eastAsia="lv-LV"/>
    </w:rPr>
  </w:style>
  <w:style w:type="paragraph" w:customStyle="1" w:styleId="NAapaksnodala">
    <w:name w:val="NA apaksnodala"/>
    <w:basedOn w:val="Parasts"/>
    <w:qFormat/>
    <w:rsid w:val="008614B9"/>
    <w:pPr>
      <w:numPr>
        <w:ilvl w:val="1"/>
        <w:numId w:val="5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lv-LV" w:eastAsia="lv-LV"/>
    </w:rPr>
  </w:style>
  <w:style w:type="character" w:customStyle="1" w:styleId="SarakstarindkopaRakstz">
    <w:name w:val="Saraksta rindkopa Rakstz."/>
    <w:aliases w:val="2 Rakstz.,Akapit z listą BS Rakstz.,Bullet 1 Rakstz.,Bullet Points Rakstz.,Dot pt Rakstz.,F5 List Paragraph Rakstz.,IFCL - List Paragraph Rakstz.,Indicator Text Rakstz.,List Paragraph Char Char Char Rakstz.,MAIN CONTENT Rakstz."/>
    <w:link w:val="Sarakstarindkopa"/>
    <w:uiPriority w:val="34"/>
    <w:qFormat/>
    <w:locked/>
    <w:rsid w:val="00FE3023"/>
    <w:rPr>
      <w:lang w:val="ru-RU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3401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B4308"/>
    <w:pPr>
      <w:spacing w:after="0" w:line="240" w:lineRule="auto"/>
    </w:pPr>
    <w:rPr>
      <w:lang w:val="ru-RU"/>
    </w:rPr>
  </w:style>
  <w:style w:type="paragraph" w:styleId="Galvene">
    <w:name w:val="header"/>
    <w:basedOn w:val="Parasts"/>
    <w:link w:val="GalveneRakstz"/>
    <w:uiPriority w:val="99"/>
    <w:unhideWhenUsed/>
    <w:rsid w:val="005D59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D590C"/>
    <w:rPr>
      <w:lang w:val="ru-RU"/>
    </w:rPr>
  </w:style>
  <w:style w:type="paragraph" w:styleId="Kjene">
    <w:name w:val="footer"/>
    <w:basedOn w:val="Parasts"/>
    <w:link w:val="KjeneRakstz"/>
    <w:uiPriority w:val="99"/>
    <w:unhideWhenUsed/>
    <w:rsid w:val="005D59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D590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bank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EA1BF-AA4C-4952-83BB-B4FBA577D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E7E86-6640-4B89-B853-CD322010B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463D5-918F-4C5D-B0F0-CDFCD87D5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3651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Pīpiņš</dc:creator>
  <cp:keywords/>
  <dc:description/>
  <cp:lastModifiedBy>Ineta Strade</cp:lastModifiedBy>
  <cp:revision>3</cp:revision>
  <dcterms:created xsi:type="dcterms:W3CDTF">2026-05-11T08:17:00Z</dcterms:created>
  <dcterms:modified xsi:type="dcterms:W3CDTF">2026-05-12T05:42:00Z</dcterms:modified>
</cp:coreProperties>
</file>