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17A00" w14:textId="6FF8D623" w:rsidR="004A5D36" w:rsidRPr="000236EC" w:rsidRDefault="00462488" w:rsidP="000236EC">
      <w:pPr>
        <w:jc w:val="center"/>
        <w:rPr>
          <w:b/>
          <w:bCs/>
          <w:sz w:val="24"/>
        </w:rPr>
      </w:pPr>
      <w:r w:rsidRPr="000236EC">
        <w:rPr>
          <w:b/>
          <w:bCs/>
          <w:sz w:val="24"/>
        </w:rPr>
        <w:t>Latvijas Bankas noteikumu projekta "Noteikumi par elektronisko informācijas apmaiņu ar Latvijas Banku" anotācija</w:t>
      </w:r>
    </w:p>
    <w:p w14:paraId="44D23FEB" w14:textId="77777777" w:rsidR="004A5D36" w:rsidRDefault="00462488">
      <w:pPr>
        <w:spacing w:line="259" w:lineRule="auto"/>
        <w:ind w:left="0"/>
      </w:pPr>
      <w:r>
        <w:rPr>
          <w:sz w:val="20"/>
        </w:rPr>
        <w:t xml:space="preserve"> </w:t>
      </w:r>
    </w:p>
    <w:tbl>
      <w:tblPr>
        <w:tblStyle w:val="TableGrid"/>
        <w:tblW w:w="9071" w:type="dxa"/>
        <w:tblInd w:w="125" w:type="dxa"/>
        <w:tblCellMar>
          <w:top w:w="12" w:type="dxa"/>
          <w:left w:w="6" w:type="dxa"/>
          <w:right w:w="43" w:type="dxa"/>
        </w:tblCellMar>
        <w:tblLook w:val="04A0" w:firstRow="1" w:lastRow="0" w:firstColumn="1" w:lastColumn="0" w:noHBand="0" w:noVBand="1"/>
      </w:tblPr>
      <w:tblGrid>
        <w:gridCol w:w="3118"/>
        <w:gridCol w:w="5953"/>
      </w:tblGrid>
      <w:tr w:rsidR="004A5D36" w14:paraId="5E4F111D" w14:textId="77777777" w:rsidTr="000236EC">
        <w:trPr>
          <w:trHeight w:val="563"/>
        </w:trPr>
        <w:tc>
          <w:tcPr>
            <w:tcW w:w="3118" w:type="dxa"/>
            <w:tcBorders>
              <w:top w:val="single" w:sz="5" w:space="0" w:color="000000"/>
              <w:left w:val="single" w:sz="5" w:space="0" w:color="000000"/>
              <w:bottom w:val="single" w:sz="5" w:space="0" w:color="000000"/>
              <w:right w:val="single" w:sz="5" w:space="0" w:color="000000"/>
            </w:tcBorders>
          </w:tcPr>
          <w:p w14:paraId="63568E61" w14:textId="3BA2B1F0" w:rsidR="004A5D36" w:rsidRPr="000236EC" w:rsidRDefault="00462488" w:rsidP="000236EC">
            <w:pPr>
              <w:widowControl w:val="0"/>
              <w:spacing w:after="120" w:line="240" w:lineRule="auto"/>
              <w:ind w:left="102"/>
              <w:rPr>
                <w:b/>
                <w:bCs/>
              </w:rPr>
            </w:pPr>
            <w:r w:rsidRPr="000236EC">
              <w:rPr>
                <w:b/>
                <w:bCs/>
                <w:sz w:val="13"/>
              </w:rPr>
              <w:t xml:space="preserve"> </w:t>
            </w:r>
            <w:r w:rsidRPr="000236EC">
              <w:rPr>
                <w:b/>
                <w:bCs/>
                <w:sz w:val="24"/>
              </w:rPr>
              <w:t xml:space="preserve">Nosaukums </w:t>
            </w:r>
          </w:p>
        </w:tc>
        <w:tc>
          <w:tcPr>
            <w:tcW w:w="5953" w:type="dxa"/>
            <w:tcBorders>
              <w:top w:val="single" w:sz="5" w:space="0" w:color="000000"/>
              <w:left w:val="single" w:sz="5" w:space="0" w:color="000000"/>
              <w:bottom w:val="single" w:sz="5" w:space="0" w:color="000000"/>
              <w:right w:val="single" w:sz="5" w:space="0" w:color="000000"/>
            </w:tcBorders>
          </w:tcPr>
          <w:p w14:paraId="0AA10525" w14:textId="77777777" w:rsidR="004A5D36" w:rsidRDefault="00462488" w:rsidP="000236EC">
            <w:pPr>
              <w:widowControl w:val="0"/>
              <w:spacing w:after="120" w:line="240" w:lineRule="auto"/>
              <w:ind w:left="102"/>
            </w:pPr>
            <w:r>
              <w:rPr>
                <w:sz w:val="24"/>
              </w:rPr>
              <w:t xml:space="preserve">Noteikumi par elektronisko informācijas apmaiņu ar Latvijas Banku </w:t>
            </w:r>
          </w:p>
        </w:tc>
      </w:tr>
      <w:tr w:rsidR="004A5D36" w14:paraId="499E266F" w14:textId="77777777" w:rsidTr="000236EC">
        <w:trPr>
          <w:trHeight w:val="286"/>
        </w:trPr>
        <w:tc>
          <w:tcPr>
            <w:tcW w:w="3118" w:type="dxa"/>
            <w:tcBorders>
              <w:top w:val="single" w:sz="5" w:space="0" w:color="000000"/>
              <w:left w:val="single" w:sz="5" w:space="0" w:color="000000"/>
              <w:bottom w:val="single" w:sz="5" w:space="0" w:color="000000"/>
              <w:right w:val="single" w:sz="5" w:space="0" w:color="000000"/>
            </w:tcBorders>
          </w:tcPr>
          <w:p w14:paraId="1A5079FA" w14:textId="77777777" w:rsidR="004A5D36" w:rsidRPr="000236EC" w:rsidRDefault="00462488" w:rsidP="000236EC">
            <w:pPr>
              <w:widowControl w:val="0"/>
              <w:spacing w:after="120" w:line="240" w:lineRule="auto"/>
              <w:ind w:left="102"/>
              <w:rPr>
                <w:b/>
                <w:bCs/>
              </w:rPr>
            </w:pPr>
            <w:r w:rsidRPr="000236EC">
              <w:rPr>
                <w:b/>
                <w:bCs/>
                <w:sz w:val="24"/>
              </w:rPr>
              <w:t xml:space="preserve">Dokumenta veids </w:t>
            </w:r>
          </w:p>
        </w:tc>
        <w:tc>
          <w:tcPr>
            <w:tcW w:w="5953" w:type="dxa"/>
            <w:tcBorders>
              <w:top w:val="single" w:sz="5" w:space="0" w:color="000000"/>
              <w:left w:val="single" w:sz="5" w:space="0" w:color="000000"/>
              <w:bottom w:val="single" w:sz="5" w:space="0" w:color="000000"/>
              <w:right w:val="single" w:sz="5" w:space="0" w:color="000000"/>
            </w:tcBorders>
          </w:tcPr>
          <w:p w14:paraId="1C6429A3" w14:textId="77777777" w:rsidR="004A5D36" w:rsidRDefault="00462488" w:rsidP="000236EC">
            <w:pPr>
              <w:widowControl w:val="0"/>
              <w:spacing w:after="120" w:line="240" w:lineRule="auto"/>
              <w:ind w:left="102"/>
            </w:pPr>
            <w:r>
              <w:rPr>
                <w:sz w:val="24"/>
              </w:rPr>
              <w:t xml:space="preserve">Noteikumi </w:t>
            </w:r>
          </w:p>
        </w:tc>
      </w:tr>
      <w:tr w:rsidR="004A5D36" w14:paraId="45D0CF74" w14:textId="77777777" w:rsidTr="000236EC">
        <w:trPr>
          <w:trHeight w:val="3046"/>
        </w:trPr>
        <w:tc>
          <w:tcPr>
            <w:tcW w:w="3118" w:type="dxa"/>
            <w:tcBorders>
              <w:top w:val="single" w:sz="5" w:space="0" w:color="000000"/>
              <w:left w:val="single" w:sz="5" w:space="0" w:color="000000"/>
              <w:bottom w:val="single" w:sz="5" w:space="0" w:color="000000"/>
              <w:right w:val="single" w:sz="5" w:space="0" w:color="000000"/>
            </w:tcBorders>
          </w:tcPr>
          <w:p w14:paraId="53355075" w14:textId="77777777" w:rsidR="004A5D36" w:rsidRPr="000236EC" w:rsidRDefault="00462488" w:rsidP="000236EC">
            <w:pPr>
              <w:widowControl w:val="0"/>
              <w:spacing w:after="120" w:line="240" w:lineRule="auto"/>
              <w:ind w:left="102"/>
              <w:rPr>
                <w:b/>
                <w:bCs/>
              </w:rPr>
            </w:pPr>
            <w:r w:rsidRPr="000236EC">
              <w:rPr>
                <w:b/>
                <w:bCs/>
                <w:sz w:val="24"/>
              </w:rPr>
              <w:t xml:space="preserve">Izdošanas pamatojums </w:t>
            </w:r>
          </w:p>
        </w:tc>
        <w:tc>
          <w:tcPr>
            <w:tcW w:w="5953" w:type="dxa"/>
            <w:tcBorders>
              <w:top w:val="single" w:sz="5" w:space="0" w:color="000000"/>
              <w:left w:val="single" w:sz="5" w:space="0" w:color="000000"/>
              <w:bottom w:val="single" w:sz="5" w:space="0" w:color="000000"/>
              <w:right w:val="single" w:sz="5" w:space="0" w:color="000000"/>
            </w:tcBorders>
          </w:tcPr>
          <w:p w14:paraId="3F5C7411" w14:textId="77777777" w:rsidR="004A5D36" w:rsidRDefault="00462488" w:rsidP="000236EC">
            <w:pPr>
              <w:widowControl w:val="0"/>
              <w:spacing w:after="120" w:line="240" w:lineRule="auto"/>
              <w:ind w:left="102" w:right="60"/>
              <w:jc w:val="both"/>
            </w:pPr>
            <w:r>
              <w:rPr>
                <w:sz w:val="24"/>
              </w:rPr>
              <w:t xml:space="preserve">Kredītu reģistra likuma 13. un 17. pants, 24. panta otrā daļa, 31. panta ceturtā daļa, 38. panta piektā daļa, 39. panta ceturtā daļa un 40. panta trešā daļa, Latvijas Bankas likuma 63. panta otrā daļa, Kredītiestāžu likuma 50. panta trešā daļa, Apdrošināšanas un pārapdrošināšanas likuma </w:t>
            </w:r>
          </w:p>
          <w:p w14:paraId="58DD88AA" w14:textId="77777777" w:rsidR="004A5D36" w:rsidRDefault="00462488" w:rsidP="000236EC">
            <w:pPr>
              <w:widowControl w:val="0"/>
              <w:spacing w:after="120" w:line="240" w:lineRule="auto"/>
              <w:ind w:left="102" w:right="58"/>
              <w:jc w:val="both"/>
            </w:pPr>
            <w:r>
              <w:rPr>
                <w:sz w:val="24"/>
              </w:rPr>
              <w:t xml:space="preserve">41. panta astotā daļa, Ieguldījumu brokeru sabiedrību likuma 45. panta septītā daļa, Ieguldījumu pārvaldes sabiedrību likuma 72. panta otrā daļa, Valsts fondēto pensiju likuma 14. panta trešā daļa, Privāto pensiju fondu likuma 36. panta devītā daļa un Alternatīvo ieguldījumu fondu un to pārvaldnieku likuma 59. panta astotā daļa </w:t>
            </w:r>
          </w:p>
        </w:tc>
      </w:tr>
      <w:tr w:rsidR="00DE51A0" w14:paraId="6FB5C736" w14:textId="77777777" w:rsidTr="000236EC">
        <w:trPr>
          <w:trHeight w:val="3046"/>
        </w:trPr>
        <w:tc>
          <w:tcPr>
            <w:tcW w:w="3118" w:type="dxa"/>
            <w:tcBorders>
              <w:top w:val="single" w:sz="5" w:space="0" w:color="000000"/>
              <w:left w:val="single" w:sz="5" w:space="0" w:color="000000"/>
              <w:bottom w:val="single" w:sz="5" w:space="0" w:color="000000"/>
              <w:right w:val="single" w:sz="5" w:space="0" w:color="000000"/>
            </w:tcBorders>
          </w:tcPr>
          <w:p w14:paraId="2FD93DCF" w14:textId="3515CA68" w:rsidR="00DE51A0" w:rsidRPr="000236EC" w:rsidRDefault="00DE51A0" w:rsidP="000236EC">
            <w:pPr>
              <w:widowControl w:val="0"/>
              <w:spacing w:after="120" w:line="240" w:lineRule="auto"/>
              <w:ind w:left="102"/>
              <w:rPr>
                <w:b/>
                <w:bCs/>
                <w:sz w:val="24"/>
              </w:rPr>
            </w:pPr>
            <w:r w:rsidRPr="000236EC">
              <w:rPr>
                <w:b/>
                <w:bCs/>
                <w:sz w:val="24"/>
              </w:rPr>
              <w:t>Mērķis un būtība</w:t>
            </w:r>
          </w:p>
        </w:tc>
        <w:tc>
          <w:tcPr>
            <w:tcW w:w="5953" w:type="dxa"/>
            <w:tcBorders>
              <w:top w:val="single" w:sz="5" w:space="0" w:color="000000"/>
              <w:left w:val="single" w:sz="5" w:space="0" w:color="000000"/>
              <w:bottom w:val="single" w:sz="5" w:space="0" w:color="000000"/>
              <w:right w:val="single" w:sz="5" w:space="0" w:color="000000"/>
            </w:tcBorders>
          </w:tcPr>
          <w:p w14:paraId="320CA02F" w14:textId="4646B7D6" w:rsidR="00DE51A0" w:rsidRDefault="00DE51A0" w:rsidP="000236EC">
            <w:pPr>
              <w:widowControl w:val="0"/>
              <w:spacing w:after="120" w:line="240" w:lineRule="auto"/>
              <w:ind w:left="102" w:right="61"/>
              <w:jc w:val="both"/>
            </w:pPr>
            <w:r>
              <w:rPr>
                <w:sz w:val="24"/>
              </w:rPr>
              <w:t>Latvijas Bankas noteikumu projekts "Noteikumi par elektronisko informācijas apmaiņu ar Latvijas Banku" (tālāk tekstā – Noteikumu projekts) ar 2023. gada 1. janvāri aizstās pašlaik spēkā esošos Latvijas Bankas 2018. gada 18. janvāra noteikumus Nr. 162 "Noteikumi par elektronisko informācijas apmaiņu ar Latvijas Banku" (tālāk tekstā – Latvijas Bankas noteikumi Nr. 162) un Finanšu un kapitāla tirgus komisijas 2020. gada 18. jūnija normatīvos noteikumus Nr. 76 "Elektroniski sagatavoto pārskatu iesniegšanas normatīvie noteikumi" (tālāk tekstā –</w:t>
            </w:r>
            <w:r>
              <w:rPr>
                <w:rFonts w:ascii="Arial" w:eastAsia="Arial" w:hAnsi="Arial" w:cs="Arial"/>
                <w:sz w:val="24"/>
              </w:rPr>
              <w:t xml:space="preserve"> </w:t>
            </w:r>
            <w:r>
              <w:rPr>
                <w:sz w:val="24"/>
              </w:rPr>
              <w:t xml:space="preserve">Komisijas noteikumi Nr. 76). </w:t>
            </w:r>
          </w:p>
          <w:p w14:paraId="445AB3C2" w14:textId="77777777" w:rsidR="000236EC" w:rsidRPr="000236EC" w:rsidRDefault="00DE51A0" w:rsidP="000236EC">
            <w:pPr>
              <w:widowControl w:val="0"/>
              <w:spacing w:after="120" w:line="240" w:lineRule="auto"/>
              <w:ind w:left="102"/>
              <w:rPr>
                <w:sz w:val="24"/>
              </w:rPr>
            </w:pPr>
            <w:r w:rsidRPr="000236EC">
              <w:rPr>
                <w:sz w:val="24"/>
              </w:rPr>
              <w:t xml:space="preserve">Noteikumu projektā paredzēts noteikt: </w:t>
            </w:r>
          </w:p>
          <w:p w14:paraId="66D90FFF" w14:textId="77777777" w:rsidR="000236EC" w:rsidRPr="000236EC" w:rsidRDefault="000236EC" w:rsidP="000236EC">
            <w:pPr>
              <w:widowControl w:val="0"/>
              <w:spacing w:after="120" w:line="240" w:lineRule="auto"/>
              <w:ind w:left="102"/>
              <w:jc w:val="both"/>
              <w:rPr>
                <w:sz w:val="24"/>
              </w:rPr>
            </w:pPr>
            <w:r w:rsidRPr="000236EC">
              <w:rPr>
                <w:sz w:val="24"/>
              </w:rPr>
              <w:t xml:space="preserve">1) </w:t>
            </w:r>
            <w:r w:rsidR="00DE51A0" w:rsidRPr="000236EC">
              <w:rPr>
                <w:sz w:val="24"/>
              </w:rPr>
              <w:t xml:space="preserve">kārtību, kādā Kredītu reģistra (tālāk tekstā – reģistrs) dalībnieks, reģistra dalībnieks ar ierobežotu statusu un Valsts kase iekļauj ziņas reģistrā, labo vai anulē, kā arī pieprasa un saņem reģistrā iekļautās ziņas; </w:t>
            </w:r>
          </w:p>
          <w:p w14:paraId="73A21B35" w14:textId="77777777" w:rsidR="000236EC" w:rsidRPr="000236EC" w:rsidRDefault="000236EC" w:rsidP="000236EC">
            <w:pPr>
              <w:widowControl w:val="0"/>
              <w:spacing w:after="120" w:line="240" w:lineRule="auto"/>
              <w:ind w:left="102"/>
              <w:jc w:val="both"/>
              <w:rPr>
                <w:sz w:val="24"/>
              </w:rPr>
            </w:pPr>
            <w:r w:rsidRPr="000236EC">
              <w:rPr>
                <w:sz w:val="24"/>
              </w:rPr>
              <w:t xml:space="preserve">2) </w:t>
            </w:r>
            <w:r w:rsidR="00DE51A0" w:rsidRPr="000236EC">
              <w:rPr>
                <w:sz w:val="24"/>
              </w:rPr>
              <w:t xml:space="preserve">maksas par reģistra izmantošanu apjomu un maksāšanas kārtību; </w:t>
            </w:r>
          </w:p>
          <w:p w14:paraId="163EC7CC" w14:textId="77777777" w:rsidR="000236EC" w:rsidRDefault="000236EC" w:rsidP="000236EC">
            <w:pPr>
              <w:widowControl w:val="0"/>
              <w:spacing w:after="120" w:line="240" w:lineRule="auto"/>
              <w:ind w:left="102"/>
              <w:jc w:val="both"/>
              <w:rPr>
                <w:sz w:val="24"/>
              </w:rPr>
            </w:pPr>
            <w:r w:rsidRPr="000236EC">
              <w:rPr>
                <w:sz w:val="24"/>
              </w:rPr>
              <w:t xml:space="preserve">3) </w:t>
            </w:r>
            <w:r w:rsidR="00DE51A0" w:rsidRPr="000236EC">
              <w:rPr>
                <w:sz w:val="24"/>
              </w:rPr>
              <w:t xml:space="preserve">statistisko datu iesniegšanas kārtību; </w:t>
            </w:r>
          </w:p>
          <w:p w14:paraId="4A2193E8" w14:textId="51DA3000" w:rsidR="00DE51A0" w:rsidRPr="000236EC" w:rsidRDefault="000236EC" w:rsidP="000236EC">
            <w:pPr>
              <w:widowControl w:val="0"/>
              <w:spacing w:after="120" w:line="240" w:lineRule="auto"/>
              <w:ind w:left="102"/>
              <w:jc w:val="both"/>
              <w:rPr>
                <w:sz w:val="24"/>
              </w:rPr>
            </w:pPr>
            <w:r>
              <w:rPr>
                <w:sz w:val="24"/>
              </w:rPr>
              <w:t xml:space="preserve">4) </w:t>
            </w:r>
            <w:r w:rsidR="00DE51A0" w:rsidRPr="000236EC">
              <w:rPr>
                <w:sz w:val="24"/>
              </w:rPr>
              <w:t>citas finanšu</w:t>
            </w:r>
            <w:r w:rsidR="00DE51A0">
              <w:rPr>
                <w:sz w:val="24"/>
              </w:rPr>
              <w:t xml:space="preserve"> tirgus dalībnieku uzraudzības un noregulējuma funkcijas nodrošināšanai nepieciešamās informācijas iesniegšanas kārtību. </w:t>
            </w:r>
          </w:p>
          <w:p w14:paraId="55B1E5CB" w14:textId="77777777" w:rsidR="00DE51A0" w:rsidRDefault="00DE51A0" w:rsidP="000236EC">
            <w:pPr>
              <w:widowControl w:val="0"/>
              <w:spacing w:after="120" w:line="240" w:lineRule="auto"/>
              <w:ind w:left="102" w:right="60"/>
              <w:jc w:val="both"/>
              <w:rPr>
                <w:sz w:val="24"/>
              </w:rPr>
            </w:pPr>
            <w:r>
              <w:rPr>
                <w:sz w:val="24"/>
              </w:rPr>
              <w:t>Noteikumu projekts nepieciešams, lai praktiski īstenotu reģistrā iekļaujamo ziņu, statistisko datu un citas finanšu tirgus dalībnieku uzraudzības un noregulējuma funkcijas nodrošināšanai nepieciešamās informācijas apmaiņu ar Latvijas Banku, t.sk. to formātus un iesniegšanas kanālus. Noteikumu projekts neregulē reģistrā iekļaujamo ziņu, statistisko datu un citas finanšu tirgus dalībnieku</w:t>
            </w:r>
            <w:r>
              <w:rPr>
                <w:sz w:val="24"/>
              </w:rPr>
              <w:t xml:space="preserve"> </w:t>
            </w:r>
            <w:r>
              <w:rPr>
                <w:sz w:val="24"/>
              </w:rPr>
              <w:t xml:space="preserve">uzraudzības un noregulējuma funkcijas nodrošināšanai </w:t>
            </w:r>
            <w:r>
              <w:rPr>
                <w:sz w:val="24"/>
              </w:rPr>
              <w:lastRenderedPageBreak/>
              <w:t>nepieciešamās informācijas sagatavošanas prasības (tās noteiktas to aprakstošajos noteikumos).</w:t>
            </w:r>
          </w:p>
          <w:p w14:paraId="762A7FA3" w14:textId="77777777" w:rsidR="000236EC" w:rsidRDefault="00DE51A0" w:rsidP="000236EC">
            <w:pPr>
              <w:widowControl w:val="0"/>
              <w:spacing w:after="120" w:line="240" w:lineRule="auto"/>
              <w:ind w:left="102"/>
            </w:pPr>
            <w:r>
              <w:rPr>
                <w:sz w:val="24"/>
              </w:rPr>
              <w:t xml:space="preserve">Noteikumu projekts attiecas uz: </w:t>
            </w:r>
          </w:p>
          <w:p w14:paraId="38619ABF" w14:textId="77777777" w:rsidR="000236EC" w:rsidRDefault="000236EC" w:rsidP="000236EC">
            <w:pPr>
              <w:widowControl w:val="0"/>
              <w:spacing w:after="120" w:line="240" w:lineRule="auto"/>
              <w:ind w:left="102"/>
              <w:jc w:val="both"/>
            </w:pPr>
            <w:r w:rsidRPr="000236EC">
              <w:rPr>
                <w:sz w:val="24"/>
              </w:rPr>
              <w:t xml:space="preserve">1) </w:t>
            </w:r>
            <w:r w:rsidR="00DE51A0">
              <w:rPr>
                <w:sz w:val="24"/>
              </w:rPr>
              <w:t xml:space="preserve">reģistra jomā – uz reģistra dalībniekiem, ierobežotiem reģistra dalībniekiem un Valsts kasi; </w:t>
            </w:r>
          </w:p>
          <w:p w14:paraId="21453AC6" w14:textId="77777777" w:rsidR="000236EC" w:rsidRDefault="000236EC" w:rsidP="000236EC">
            <w:pPr>
              <w:widowControl w:val="0"/>
              <w:spacing w:after="120" w:line="240" w:lineRule="auto"/>
              <w:ind w:left="102"/>
              <w:jc w:val="both"/>
              <w:rPr>
                <w:sz w:val="24"/>
              </w:rPr>
            </w:pPr>
            <w:r>
              <w:rPr>
                <w:sz w:val="24"/>
              </w:rPr>
              <w:t xml:space="preserve">2) </w:t>
            </w:r>
            <w:r w:rsidR="00DE51A0">
              <w:rPr>
                <w:sz w:val="24"/>
              </w:rPr>
              <w:t xml:space="preserve">statistikas datu sniegšanas jomā – uz kredītiestādēm un </w:t>
            </w:r>
            <w:proofErr w:type="spellStart"/>
            <w:r w:rsidR="00DE51A0">
              <w:rPr>
                <w:sz w:val="24"/>
              </w:rPr>
              <w:t>nebankām</w:t>
            </w:r>
            <w:proofErr w:type="spellEnd"/>
            <w:r w:rsidR="00DE51A0">
              <w:rPr>
                <w:sz w:val="24"/>
              </w:rPr>
              <w:t xml:space="preserve"> (krājaizdevu sabiedrībām, ieguldījumu brokeru sabiedrībām, elektroniskās naudas iestādēm, naudas tirgus fondu un citiem komersantiem, kas nav kredītiestādes);</w:t>
            </w:r>
          </w:p>
          <w:p w14:paraId="3C24ED70" w14:textId="514BEB17" w:rsidR="00DE51A0" w:rsidRPr="000236EC" w:rsidRDefault="000236EC" w:rsidP="000236EC">
            <w:pPr>
              <w:widowControl w:val="0"/>
              <w:spacing w:after="120" w:line="240" w:lineRule="auto"/>
              <w:ind w:left="102"/>
              <w:jc w:val="both"/>
            </w:pPr>
            <w:r>
              <w:rPr>
                <w:sz w:val="24"/>
              </w:rPr>
              <w:t xml:space="preserve">3) </w:t>
            </w:r>
            <w:r w:rsidR="00DE51A0">
              <w:rPr>
                <w:sz w:val="24"/>
              </w:rPr>
              <w:t>uzraudzības un noregulējuma funkcijas nodrošināšanai nepieciešamo statistisko datu un citas nepieciešamās informācijas iesniegšanai – uz Latvijas Republikā reģistrētām kredītiestādēm, maksājumu iestādēm, elektroniskās naudas iestādēm, krājaizdevu sabiedrībām, apdrošināšanas un pārapdrošināšanas sabiedrībām, apdrošināšanas un pārapdrošināšanas starpniekiem, alternatīvo ieguldījumu fondu pārvaldniekiem, ieguldījumu pārvaldes sabiedrībām, ieguldījumu brokeru sabiedrībām, privātajiem pensiju fondiem, regulētā tirgus organizētājiem un centrālajiem vērtspapīru depozitārijiem, dalībvalstīs reģistrēto kredītiestāžu, apdrošināšanas un pārapdrošināšanas sabiedrību un dalībvalstīs reģistrēto ieguldījumu pārvaldes sabiedrību, ieguldījumu brokeru sabiedrību, privāto pensiju fondu, maksājumu iestāžu, elektroniskās naudas iestāžu, apdrošināšanas un pārapdrošināšanas starpnieku un finanšu iestāžu filiālēm Latvijā, Latvijas Republikā vai dalībvalstīs reģistrētiem un Latvijas Republikā pakalpojumus sniedzošiem datu ziņošanas pakalpojumu sniedzējiem.</w:t>
            </w:r>
          </w:p>
        </w:tc>
      </w:tr>
      <w:tr w:rsidR="00DE51A0" w14:paraId="303B13ED" w14:textId="77777777" w:rsidTr="000236EC">
        <w:trPr>
          <w:trHeight w:val="3046"/>
        </w:trPr>
        <w:tc>
          <w:tcPr>
            <w:tcW w:w="3118" w:type="dxa"/>
            <w:tcBorders>
              <w:top w:val="single" w:sz="5" w:space="0" w:color="000000"/>
              <w:left w:val="single" w:sz="5" w:space="0" w:color="000000"/>
              <w:bottom w:val="single" w:sz="5" w:space="0" w:color="000000"/>
              <w:right w:val="single" w:sz="5" w:space="0" w:color="000000"/>
            </w:tcBorders>
          </w:tcPr>
          <w:p w14:paraId="1DE41AA0" w14:textId="1E2B3369" w:rsidR="00DE51A0" w:rsidRPr="000236EC" w:rsidRDefault="00DE51A0" w:rsidP="000236EC">
            <w:pPr>
              <w:widowControl w:val="0"/>
              <w:spacing w:after="120" w:line="240" w:lineRule="auto"/>
              <w:ind w:left="102"/>
              <w:rPr>
                <w:b/>
                <w:bCs/>
                <w:sz w:val="24"/>
              </w:rPr>
            </w:pPr>
            <w:r w:rsidRPr="000236EC">
              <w:rPr>
                <w:b/>
                <w:bCs/>
                <w:sz w:val="24"/>
              </w:rPr>
              <w:lastRenderedPageBreak/>
              <w:t>Leģitīmais mērķis</w:t>
            </w:r>
          </w:p>
        </w:tc>
        <w:tc>
          <w:tcPr>
            <w:tcW w:w="5953" w:type="dxa"/>
            <w:tcBorders>
              <w:top w:val="single" w:sz="5" w:space="0" w:color="000000"/>
              <w:left w:val="single" w:sz="5" w:space="0" w:color="000000"/>
              <w:bottom w:val="single" w:sz="5" w:space="0" w:color="000000"/>
              <w:right w:val="single" w:sz="5" w:space="0" w:color="000000"/>
            </w:tcBorders>
          </w:tcPr>
          <w:p w14:paraId="52DE2B97" w14:textId="13A154F9" w:rsidR="00DE51A0" w:rsidRDefault="00DE51A0" w:rsidP="000236EC">
            <w:pPr>
              <w:widowControl w:val="0"/>
              <w:spacing w:after="120" w:line="240" w:lineRule="auto"/>
              <w:ind w:left="102" w:right="60"/>
              <w:jc w:val="both"/>
              <w:rPr>
                <w:sz w:val="24"/>
              </w:rPr>
            </w:pPr>
            <w:r>
              <w:rPr>
                <w:sz w:val="24"/>
              </w:rPr>
              <w:t>Noteikumu leģitīmais mērķis ir citu personu tiesību aizsardzība un sabiedrības labklājības nodrošināšana. Konkrēti, leģitīmais mērķis – sabiedrības labklājība – tiek sasniegts, īstenojot reģistrā iekļaujamo ziņu, statistisko datu un citas finanšu tirgus dalībnieku uzraudzības un noregulējuma funkcijas nodrošināšanai nepieciešamās informācijas drošu un efektīvu apmaiņu ar Latvijas Banku. Savukārt leģitīmais mērķis – citu personu tiesību aizsardzība</w:t>
            </w:r>
            <w:r w:rsidR="000236EC">
              <w:rPr>
                <w:sz w:val="24"/>
              </w:rPr>
              <w:t> </w:t>
            </w:r>
            <w:r>
              <w:rPr>
                <w:sz w:val="24"/>
              </w:rPr>
              <w:t>– tiek sasniegts, reģistrā iekļaujamo ziņu, statistisko datu un citas finanšu tirgus dalībnieku uzraudzības un noregulējuma funkcijas nodrošināšanai nepieciešamās informācijas drošu un efektīvu apmaiņu veicot tādā veidā, kas nodrošina informācijas konfidencialitāti un attiecīgi aizsargā statistisko datu sniedzēju tiesības un tiesiskās intereses.</w:t>
            </w:r>
          </w:p>
        </w:tc>
      </w:tr>
      <w:tr w:rsidR="00DE51A0" w14:paraId="4D2B5726" w14:textId="77777777" w:rsidTr="000236EC">
        <w:trPr>
          <w:trHeight w:val="3046"/>
        </w:trPr>
        <w:tc>
          <w:tcPr>
            <w:tcW w:w="3118" w:type="dxa"/>
            <w:tcBorders>
              <w:top w:val="single" w:sz="5" w:space="0" w:color="000000"/>
              <w:left w:val="single" w:sz="5" w:space="0" w:color="000000"/>
              <w:bottom w:val="single" w:sz="5" w:space="0" w:color="000000"/>
              <w:right w:val="single" w:sz="5" w:space="0" w:color="000000"/>
            </w:tcBorders>
          </w:tcPr>
          <w:p w14:paraId="7B29AC76" w14:textId="16B83C24" w:rsidR="00DE51A0" w:rsidRPr="000236EC" w:rsidRDefault="00DE51A0" w:rsidP="000236EC">
            <w:pPr>
              <w:widowControl w:val="0"/>
              <w:spacing w:after="120" w:line="240" w:lineRule="auto"/>
              <w:ind w:left="102"/>
              <w:rPr>
                <w:b/>
                <w:bCs/>
                <w:sz w:val="24"/>
              </w:rPr>
            </w:pPr>
            <w:r w:rsidRPr="000236EC">
              <w:rPr>
                <w:b/>
                <w:bCs/>
                <w:sz w:val="24"/>
              </w:rPr>
              <w:lastRenderedPageBreak/>
              <w:t>Samērīgums</w:t>
            </w:r>
          </w:p>
        </w:tc>
        <w:tc>
          <w:tcPr>
            <w:tcW w:w="5953" w:type="dxa"/>
            <w:tcBorders>
              <w:top w:val="single" w:sz="5" w:space="0" w:color="000000"/>
              <w:left w:val="single" w:sz="5" w:space="0" w:color="000000"/>
              <w:bottom w:val="single" w:sz="5" w:space="0" w:color="000000"/>
              <w:right w:val="single" w:sz="5" w:space="0" w:color="000000"/>
            </w:tcBorders>
          </w:tcPr>
          <w:p w14:paraId="08CA1F9C" w14:textId="1C624C22" w:rsidR="00DE51A0" w:rsidRDefault="00DE51A0" w:rsidP="000236EC">
            <w:pPr>
              <w:widowControl w:val="0"/>
              <w:spacing w:after="120" w:line="240" w:lineRule="auto"/>
              <w:ind w:left="102" w:right="60"/>
              <w:jc w:val="both"/>
              <w:rPr>
                <w:sz w:val="24"/>
              </w:rPr>
            </w:pPr>
            <w:r>
              <w:rPr>
                <w:sz w:val="24"/>
              </w:rPr>
              <w:t>Noteikumu projekts aizstās Latvijas Bankas noteikumus Nr.</w:t>
            </w:r>
            <w:r w:rsidR="000236EC">
              <w:rPr>
                <w:sz w:val="24"/>
              </w:rPr>
              <w:t> </w:t>
            </w:r>
            <w:r>
              <w:rPr>
                <w:sz w:val="24"/>
              </w:rPr>
              <w:t>162 un Komisijas noteikumus Nr. 76, kopumā nemainot reģistrā iekļaujamo ziņu, statistisko datu un cita veida informācijas sniedzēju loku un reģistrā iekļaujamo</w:t>
            </w:r>
            <w:r>
              <w:rPr>
                <w:sz w:val="24"/>
              </w:rPr>
              <w:t xml:space="preserve"> </w:t>
            </w:r>
            <w:r>
              <w:rPr>
                <w:sz w:val="24"/>
              </w:rPr>
              <w:t>ziņu, statistisko datu un cita veida informācijas apmaiņas kārtību. Ievērojot minēto, Noteikumu projekta prasības ir samērīgas un pēc būtības nemaina reģistrā iekļaujamo ziņu, statistisko datu un cita veida informācijas sniedzēju administratīvo slogu. Vienlaikus jāatzīmē, ka Noteikumu projektā noteiktie reģistrā iekļaujamo ziņu, statistisko datu un cita veida informācijas apmaiņas veidi ir elastīgi un piemēroti dažādām reģistrā iekļaujamo ziņu, statistisko datu un cita veida informācijas sniedzēju kategorijām, tādējādi iespējamais privātpersonas tiesību ierobežojums ir nesalīdzināmi mazāks par ieguvumu sabiedrībai kopumā, ko sniedz attiecīgās informācijas kvalitatīva saņemšana un tālāka apstrāde.</w:t>
            </w:r>
          </w:p>
        </w:tc>
      </w:tr>
      <w:tr w:rsidR="004A5D36" w14:paraId="75E344E0" w14:textId="77777777" w:rsidTr="000236EC">
        <w:tblPrEx>
          <w:tblCellMar>
            <w:top w:w="16" w:type="dxa"/>
            <w:right w:w="0" w:type="dxa"/>
          </w:tblCellMar>
        </w:tblPrEx>
        <w:trPr>
          <w:trHeight w:val="286"/>
        </w:trPr>
        <w:tc>
          <w:tcPr>
            <w:tcW w:w="3118" w:type="dxa"/>
            <w:tcBorders>
              <w:top w:val="single" w:sz="5" w:space="0" w:color="000000"/>
              <w:left w:val="single" w:sz="5" w:space="0" w:color="000000"/>
              <w:bottom w:val="single" w:sz="5" w:space="0" w:color="000000"/>
              <w:right w:val="single" w:sz="5" w:space="0" w:color="000000"/>
            </w:tcBorders>
          </w:tcPr>
          <w:p w14:paraId="2B4BB2C6" w14:textId="1261867E" w:rsidR="004A5D36" w:rsidRPr="000236EC" w:rsidRDefault="00462488" w:rsidP="000236EC">
            <w:pPr>
              <w:widowControl w:val="0"/>
              <w:spacing w:after="120" w:line="240" w:lineRule="auto"/>
              <w:ind w:left="102"/>
              <w:rPr>
                <w:b/>
                <w:bCs/>
              </w:rPr>
            </w:pPr>
            <w:r w:rsidRPr="000236EC">
              <w:rPr>
                <w:b/>
                <w:bCs/>
                <w:sz w:val="5"/>
              </w:rPr>
              <w:t xml:space="preserve"> </w:t>
            </w:r>
            <w:r w:rsidRPr="000236EC">
              <w:rPr>
                <w:b/>
                <w:bCs/>
                <w:sz w:val="24"/>
              </w:rPr>
              <w:t xml:space="preserve">Spēkā stāšanās </w:t>
            </w:r>
          </w:p>
        </w:tc>
        <w:tc>
          <w:tcPr>
            <w:tcW w:w="5953" w:type="dxa"/>
            <w:tcBorders>
              <w:top w:val="single" w:sz="5" w:space="0" w:color="000000"/>
              <w:left w:val="single" w:sz="5" w:space="0" w:color="000000"/>
              <w:bottom w:val="single" w:sz="5" w:space="0" w:color="000000"/>
              <w:right w:val="single" w:sz="5" w:space="0" w:color="000000"/>
            </w:tcBorders>
          </w:tcPr>
          <w:p w14:paraId="12162056" w14:textId="25A16F95" w:rsidR="004A5D36" w:rsidRDefault="00462488" w:rsidP="000236EC">
            <w:pPr>
              <w:widowControl w:val="0"/>
              <w:spacing w:after="120" w:line="240" w:lineRule="auto"/>
              <w:ind w:left="102"/>
            </w:pPr>
            <w:r>
              <w:rPr>
                <w:sz w:val="24"/>
              </w:rPr>
              <w:t xml:space="preserve">2023. gada 1. janvāris </w:t>
            </w:r>
          </w:p>
        </w:tc>
      </w:tr>
      <w:tr w:rsidR="004A5D36" w14:paraId="4F5F2363" w14:textId="77777777" w:rsidTr="000236EC">
        <w:tblPrEx>
          <w:tblCellMar>
            <w:top w:w="16" w:type="dxa"/>
            <w:right w:w="0" w:type="dxa"/>
          </w:tblCellMar>
        </w:tblPrEx>
        <w:trPr>
          <w:trHeight w:val="563"/>
        </w:trPr>
        <w:tc>
          <w:tcPr>
            <w:tcW w:w="3118" w:type="dxa"/>
            <w:tcBorders>
              <w:top w:val="single" w:sz="5" w:space="0" w:color="000000"/>
              <w:left w:val="single" w:sz="5" w:space="0" w:color="000000"/>
              <w:bottom w:val="single" w:sz="5" w:space="0" w:color="000000"/>
              <w:right w:val="single" w:sz="5" w:space="0" w:color="000000"/>
            </w:tcBorders>
          </w:tcPr>
          <w:p w14:paraId="2AD64A13" w14:textId="0E6DE4D8" w:rsidR="004A5D36" w:rsidRPr="000236EC" w:rsidRDefault="00462488" w:rsidP="000236EC">
            <w:pPr>
              <w:widowControl w:val="0"/>
              <w:spacing w:after="120" w:line="240" w:lineRule="auto"/>
              <w:ind w:left="102"/>
              <w:rPr>
                <w:b/>
                <w:bCs/>
              </w:rPr>
            </w:pPr>
            <w:r w:rsidRPr="000236EC">
              <w:rPr>
                <w:b/>
                <w:bCs/>
                <w:sz w:val="24"/>
              </w:rPr>
              <w:t xml:space="preserve">Ietekme uz Latvijas Bankas budžetu </w:t>
            </w:r>
          </w:p>
        </w:tc>
        <w:tc>
          <w:tcPr>
            <w:tcW w:w="5953" w:type="dxa"/>
            <w:tcBorders>
              <w:top w:val="single" w:sz="5" w:space="0" w:color="000000"/>
              <w:left w:val="single" w:sz="5" w:space="0" w:color="000000"/>
              <w:bottom w:val="single" w:sz="5" w:space="0" w:color="000000"/>
              <w:right w:val="single" w:sz="5" w:space="0" w:color="000000"/>
            </w:tcBorders>
          </w:tcPr>
          <w:p w14:paraId="79E488C0" w14:textId="77777777" w:rsidR="004A5D36" w:rsidRDefault="00462488" w:rsidP="000236EC">
            <w:pPr>
              <w:widowControl w:val="0"/>
              <w:spacing w:after="120" w:line="240" w:lineRule="auto"/>
              <w:ind w:left="102"/>
              <w:jc w:val="both"/>
            </w:pPr>
            <w:r>
              <w:rPr>
                <w:sz w:val="24"/>
              </w:rPr>
              <w:t xml:space="preserve">Normatīvā  akta  izdošana  neietekmēs  Latvijas  Bankas budžeta ieņēmumus vai izdevumus. </w:t>
            </w:r>
          </w:p>
        </w:tc>
      </w:tr>
      <w:tr w:rsidR="004A5D36" w14:paraId="31080048" w14:textId="77777777" w:rsidTr="000236EC">
        <w:tblPrEx>
          <w:tblCellMar>
            <w:top w:w="16" w:type="dxa"/>
            <w:right w:w="0" w:type="dxa"/>
          </w:tblCellMar>
        </w:tblPrEx>
        <w:trPr>
          <w:trHeight w:val="1666"/>
        </w:trPr>
        <w:tc>
          <w:tcPr>
            <w:tcW w:w="3118" w:type="dxa"/>
            <w:tcBorders>
              <w:top w:val="single" w:sz="5" w:space="0" w:color="000000"/>
              <w:left w:val="single" w:sz="5" w:space="0" w:color="000000"/>
              <w:bottom w:val="single" w:sz="5" w:space="0" w:color="000000"/>
              <w:right w:val="single" w:sz="5" w:space="0" w:color="000000"/>
            </w:tcBorders>
          </w:tcPr>
          <w:p w14:paraId="3CC6329C" w14:textId="3D427F06" w:rsidR="004A5D36" w:rsidRPr="000236EC" w:rsidRDefault="00462488" w:rsidP="000236EC">
            <w:pPr>
              <w:widowControl w:val="0"/>
              <w:spacing w:after="120" w:line="240" w:lineRule="auto"/>
              <w:ind w:left="102"/>
              <w:rPr>
                <w:b/>
                <w:bCs/>
              </w:rPr>
            </w:pPr>
            <w:r w:rsidRPr="000236EC">
              <w:rPr>
                <w:b/>
                <w:bCs/>
                <w:sz w:val="24"/>
              </w:rPr>
              <w:t xml:space="preserve">Administratīvā sloga un izmaksu novērtējums (tirgus dalībniekiem) </w:t>
            </w:r>
          </w:p>
        </w:tc>
        <w:tc>
          <w:tcPr>
            <w:tcW w:w="5953" w:type="dxa"/>
            <w:tcBorders>
              <w:top w:val="single" w:sz="5" w:space="0" w:color="000000"/>
              <w:left w:val="single" w:sz="5" w:space="0" w:color="000000"/>
              <w:bottom w:val="single" w:sz="5" w:space="0" w:color="000000"/>
              <w:right w:val="single" w:sz="5" w:space="0" w:color="000000"/>
            </w:tcBorders>
          </w:tcPr>
          <w:p w14:paraId="1A90688F" w14:textId="77777777" w:rsidR="004A5D36" w:rsidRDefault="00462488" w:rsidP="000236EC">
            <w:pPr>
              <w:widowControl w:val="0"/>
              <w:spacing w:after="120" w:line="240" w:lineRule="auto"/>
              <w:ind w:left="102" w:right="59"/>
              <w:jc w:val="both"/>
            </w:pPr>
            <w:r>
              <w:rPr>
                <w:sz w:val="24"/>
              </w:rPr>
              <w:t xml:space="preserve">Noteikumu projekts konsolidē Latvijas Bankas noteikumus Nr. 162 un Komisijas noteikumus Nr. 76 vienā normatīvajā aktā, kopumā nemainot to būtību un tādējādi neradot papildu administratīvo slogu reģistrā iekļaujamo ziņu, statistisko datu un cita veida informācijas sniedzējiem. </w:t>
            </w:r>
          </w:p>
        </w:tc>
      </w:tr>
      <w:tr w:rsidR="004A5D36" w14:paraId="5875533B" w14:textId="77777777" w:rsidTr="000236EC">
        <w:tblPrEx>
          <w:tblCellMar>
            <w:top w:w="16" w:type="dxa"/>
            <w:right w:w="0" w:type="dxa"/>
          </w:tblCellMar>
        </w:tblPrEx>
        <w:trPr>
          <w:trHeight w:val="1668"/>
        </w:trPr>
        <w:tc>
          <w:tcPr>
            <w:tcW w:w="3118" w:type="dxa"/>
            <w:tcBorders>
              <w:top w:val="single" w:sz="5" w:space="0" w:color="000000"/>
              <w:left w:val="single" w:sz="5" w:space="0" w:color="000000"/>
              <w:bottom w:val="single" w:sz="5" w:space="0" w:color="000000"/>
              <w:right w:val="single" w:sz="5" w:space="0" w:color="000000"/>
            </w:tcBorders>
          </w:tcPr>
          <w:p w14:paraId="1AFF84D4" w14:textId="77777777" w:rsidR="004A5D36" w:rsidRPr="000236EC" w:rsidRDefault="00462488" w:rsidP="000236EC">
            <w:pPr>
              <w:widowControl w:val="0"/>
              <w:spacing w:after="120" w:line="240" w:lineRule="auto"/>
              <w:ind w:left="102"/>
              <w:rPr>
                <w:b/>
                <w:bCs/>
              </w:rPr>
            </w:pPr>
            <w:r w:rsidRPr="000236EC">
              <w:rPr>
                <w:b/>
                <w:bCs/>
                <w:sz w:val="24"/>
              </w:rPr>
              <w:t xml:space="preserve">Saistītie dokumenti </w:t>
            </w:r>
          </w:p>
        </w:tc>
        <w:tc>
          <w:tcPr>
            <w:tcW w:w="5953" w:type="dxa"/>
            <w:tcBorders>
              <w:top w:val="single" w:sz="5" w:space="0" w:color="000000"/>
              <w:left w:val="single" w:sz="5" w:space="0" w:color="000000"/>
              <w:bottom w:val="single" w:sz="5" w:space="0" w:color="000000"/>
              <w:right w:val="single" w:sz="5" w:space="0" w:color="000000"/>
            </w:tcBorders>
          </w:tcPr>
          <w:p w14:paraId="68748092" w14:textId="69969EBB" w:rsidR="004A5D36" w:rsidRDefault="00462488" w:rsidP="000236EC">
            <w:pPr>
              <w:widowControl w:val="0"/>
              <w:spacing w:after="120" w:line="240" w:lineRule="auto"/>
              <w:ind w:left="102" w:right="122"/>
              <w:jc w:val="both"/>
            </w:pPr>
            <w:r>
              <w:rPr>
                <w:sz w:val="24"/>
              </w:rPr>
              <w:t xml:space="preserve">Latvijas Bankas 2018. gada 18. janvāra noteikumi Nr. 160 </w:t>
            </w:r>
            <w:r w:rsidR="000236EC">
              <w:t xml:space="preserve"> </w:t>
            </w:r>
            <w:r>
              <w:rPr>
                <w:sz w:val="24"/>
              </w:rPr>
              <w:t xml:space="preserve">"Kredītu reģistra noteikumi", kā arī Latvijas Bankas noteikumi un Komisijas normatīvie noteikumi, kuri regulē statistisko datu un citas finanšu tirgus dalībnieku uzraudzības un noregulējuma funkcijas nodrošināšanai nepieciešamās informācijas iesniegšanu Latvijas Bankai. </w:t>
            </w:r>
          </w:p>
        </w:tc>
      </w:tr>
      <w:tr w:rsidR="004A5D36" w14:paraId="69CBFBE4" w14:textId="77777777" w:rsidTr="000236EC">
        <w:tblPrEx>
          <w:tblCellMar>
            <w:top w:w="16" w:type="dxa"/>
            <w:right w:w="0" w:type="dxa"/>
          </w:tblCellMar>
        </w:tblPrEx>
        <w:trPr>
          <w:trHeight w:val="562"/>
        </w:trPr>
        <w:tc>
          <w:tcPr>
            <w:tcW w:w="3118" w:type="dxa"/>
            <w:tcBorders>
              <w:top w:val="single" w:sz="5" w:space="0" w:color="000000"/>
              <w:left w:val="single" w:sz="5" w:space="0" w:color="000000"/>
              <w:bottom w:val="single" w:sz="5" w:space="0" w:color="000000"/>
              <w:right w:val="single" w:sz="5" w:space="0" w:color="000000"/>
            </w:tcBorders>
          </w:tcPr>
          <w:p w14:paraId="2806D162" w14:textId="77777777" w:rsidR="004A5D36" w:rsidRPr="000236EC" w:rsidRDefault="00462488" w:rsidP="000236EC">
            <w:pPr>
              <w:widowControl w:val="0"/>
              <w:spacing w:after="120" w:line="240" w:lineRule="auto"/>
              <w:ind w:left="102"/>
              <w:rPr>
                <w:b/>
                <w:bCs/>
              </w:rPr>
            </w:pPr>
            <w:r w:rsidRPr="000236EC">
              <w:rPr>
                <w:b/>
                <w:bCs/>
                <w:sz w:val="24"/>
              </w:rPr>
              <w:t xml:space="preserve">Saskaņošana ar Eiropas Centrālo banku </w:t>
            </w:r>
          </w:p>
        </w:tc>
        <w:tc>
          <w:tcPr>
            <w:tcW w:w="5953" w:type="dxa"/>
            <w:tcBorders>
              <w:top w:val="single" w:sz="5" w:space="0" w:color="000000"/>
              <w:left w:val="single" w:sz="5" w:space="0" w:color="000000"/>
              <w:bottom w:val="single" w:sz="5" w:space="0" w:color="000000"/>
              <w:right w:val="single" w:sz="5" w:space="0" w:color="000000"/>
            </w:tcBorders>
          </w:tcPr>
          <w:p w14:paraId="289B5300" w14:textId="77777777" w:rsidR="004A5D36" w:rsidRDefault="00462488" w:rsidP="000236EC">
            <w:pPr>
              <w:widowControl w:val="0"/>
              <w:spacing w:after="120" w:line="240" w:lineRule="auto"/>
              <w:ind w:left="102" w:right="122"/>
              <w:jc w:val="both"/>
            </w:pPr>
            <w:r>
              <w:rPr>
                <w:sz w:val="24"/>
              </w:rPr>
              <w:t xml:space="preserve">Normatīvā  akta  projektu  nav  nepieciešams  saskaņot  ar Eiropas Centrālo banku. </w:t>
            </w:r>
          </w:p>
        </w:tc>
      </w:tr>
      <w:tr w:rsidR="000236EC" w14:paraId="723B00C8" w14:textId="77777777" w:rsidTr="000236EC">
        <w:tblPrEx>
          <w:tblCellMar>
            <w:top w:w="16" w:type="dxa"/>
            <w:right w:w="0" w:type="dxa"/>
          </w:tblCellMar>
        </w:tblPrEx>
        <w:trPr>
          <w:trHeight w:val="562"/>
        </w:trPr>
        <w:tc>
          <w:tcPr>
            <w:tcW w:w="3118" w:type="dxa"/>
            <w:tcBorders>
              <w:top w:val="single" w:sz="5" w:space="0" w:color="000000"/>
              <w:left w:val="single" w:sz="5" w:space="0" w:color="000000"/>
              <w:bottom w:val="single" w:sz="5" w:space="0" w:color="000000"/>
              <w:right w:val="single" w:sz="5" w:space="0" w:color="000000"/>
            </w:tcBorders>
          </w:tcPr>
          <w:p w14:paraId="19B886FF" w14:textId="0A5C6A70" w:rsidR="000236EC" w:rsidRPr="000236EC" w:rsidRDefault="000236EC" w:rsidP="000236EC">
            <w:pPr>
              <w:widowControl w:val="0"/>
              <w:spacing w:after="120" w:line="240" w:lineRule="auto"/>
              <w:ind w:left="102"/>
              <w:rPr>
                <w:b/>
                <w:bCs/>
                <w:sz w:val="24"/>
              </w:rPr>
            </w:pPr>
            <w:r w:rsidRPr="000236EC">
              <w:rPr>
                <w:b/>
                <w:bCs/>
                <w:sz w:val="24"/>
              </w:rPr>
              <w:t>Saskaņošana ar citām publiskām un privātām personām</w:t>
            </w:r>
          </w:p>
        </w:tc>
        <w:tc>
          <w:tcPr>
            <w:tcW w:w="5953" w:type="dxa"/>
            <w:tcBorders>
              <w:top w:val="single" w:sz="5" w:space="0" w:color="000000"/>
              <w:left w:val="single" w:sz="5" w:space="0" w:color="000000"/>
              <w:bottom w:val="single" w:sz="5" w:space="0" w:color="000000"/>
              <w:right w:val="single" w:sz="5" w:space="0" w:color="000000"/>
            </w:tcBorders>
          </w:tcPr>
          <w:p w14:paraId="571F98F0" w14:textId="5254C670" w:rsidR="000236EC" w:rsidRDefault="000236EC" w:rsidP="000236EC">
            <w:pPr>
              <w:widowControl w:val="0"/>
              <w:spacing w:after="120" w:line="240" w:lineRule="auto"/>
              <w:ind w:left="102" w:right="122"/>
              <w:jc w:val="both"/>
              <w:rPr>
                <w:sz w:val="24"/>
              </w:rPr>
            </w:pPr>
            <w:r>
              <w:rPr>
                <w:sz w:val="24"/>
              </w:rPr>
              <w:t xml:space="preserve">Saskaņošana nav nepieciešama, jo Noteikumu projekts nemaina reģistrā iekļaujamo ziņu, statistisko datu un cita veida informācijas sniedzēju loku un sniegšanas prasības un kārtību. Noteikumu projekts 2022. gada 14. jūlijā tika publicēts Latvijas Bankas tīmekļvietnes </w:t>
            </w:r>
            <w:hyperlink r:id="rId8">
              <w:proofErr w:type="spellStart"/>
              <w:r>
                <w:rPr>
                  <w:color w:val="0000FF"/>
                  <w:sz w:val="24"/>
                  <w:u w:val="single" w:color="0000FF"/>
                </w:rPr>
                <w:t>www.bank.lv</w:t>
              </w:r>
              <w:proofErr w:type="spellEnd"/>
            </w:hyperlink>
            <w:hyperlink r:id="rId9">
              <w:r>
                <w:rPr>
                  <w:sz w:val="24"/>
                </w:rPr>
                <w:t xml:space="preserve"> </w:t>
              </w:r>
            </w:hyperlink>
            <w:r>
              <w:rPr>
                <w:sz w:val="24"/>
              </w:rPr>
              <w:t xml:space="preserve">sadaļā "Sabiedrības līdzdalība", un līdz 2022. gada 14. augustam par to bija iespējama sabiedrības līdzdalība. Vienlaikus par Noteikumu projektu un notiekošo sabiedrības līdzdalību individuāli tika informēta Nebanku Finanšu Pakalpojumu Sniedzēju Asociācija, Latvijas Finanšu nozares asociācija, </w:t>
            </w:r>
            <w:proofErr w:type="spellStart"/>
            <w:r>
              <w:rPr>
                <w:sz w:val="24"/>
              </w:rPr>
              <w:t>FinTech</w:t>
            </w:r>
            <w:proofErr w:type="spellEnd"/>
            <w:r>
              <w:rPr>
                <w:sz w:val="24"/>
              </w:rPr>
              <w:t xml:space="preserve"> Latvija Asociācija, Latvijas Maksājumu pakalpojumu un elektroniskās naudas iestāžu asociācija, Latvijas Kooperatīvo krājaizdevu sabiedrību savienība, Latvijas Republikas Grāmatvežu asociācija, Latvijas Apdrošinātāju asociācija, Latvijas </w:t>
            </w:r>
            <w:r>
              <w:rPr>
                <w:sz w:val="24"/>
              </w:rPr>
              <w:lastRenderedPageBreak/>
              <w:t>Profesionālo Apdrošināšanas brokeru Asociācija un Latvijas Apdrošināšanas brokeru asociācija.</w:t>
            </w:r>
          </w:p>
        </w:tc>
      </w:tr>
      <w:tr w:rsidR="004A5D36" w14:paraId="7C64031D" w14:textId="77777777" w:rsidTr="000236EC">
        <w:tblPrEx>
          <w:tblCellMar>
            <w:top w:w="16" w:type="dxa"/>
            <w:right w:w="0" w:type="dxa"/>
          </w:tblCellMar>
        </w:tblPrEx>
        <w:trPr>
          <w:trHeight w:val="1282"/>
        </w:trPr>
        <w:tc>
          <w:tcPr>
            <w:tcW w:w="3118" w:type="dxa"/>
            <w:tcBorders>
              <w:top w:val="single" w:sz="5" w:space="0" w:color="000000"/>
              <w:left w:val="single" w:sz="5" w:space="0" w:color="000000"/>
              <w:bottom w:val="single" w:sz="5" w:space="0" w:color="000000"/>
              <w:right w:val="single" w:sz="5" w:space="0" w:color="000000"/>
            </w:tcBorders>
          </w:tcPr>
          <w:p w14:paraId="0D1FF8E0" w14:textId="77777777" w:rsidR="004A5D36" w:rsidRPr="000236EC" w:rsidRDefault="00462488" w:rsidP="000236EC">
            <w:pPr>
              <w:widowControl w:val="0"/>
              <w:spacing w:after="120" w:line="240" w:lineRule="auto"/>
              <w:ind w:left="144"/>
              <w:rPr>
                <w:b/>
                <w:bCs/>
              </w:rPr>
            </w:pPr>
            <w:r w:rsidRPr="000236EC">
              <w:rPr>
                <w:b/>
                <w:bCs/>
                <w:sz w:val="24"/>
              </w:rPr>
              <w:lastRenderedPageBreak/>
              <w:t xml:space="preserve">Saskaņošanas rezultāti </w:t>
            </w:r>
          </w:p>
        </w:tc>
        <w:tc>
          <w:tcPr>
            <w:tcW w:w="5953" w:type="dxa"/>
            <w:tcBorders>
              <w:top w:val="single" w:sz="5" w:space="0" w:color="000000"/>
              <w:left w:val="single" w:sz="5" w:space="0" w:color="000000"/>
              <w:bottom w:val="single" w:sz="5" w:space="0" w:color="000000"/>
              <w:right w:val="single" w:sz="5" w:space="0" w:color="000000"/>
            </w:tcBorders>
          </w:tcPr>
          <w:p w14:paraId="0BFB9652" w14:textId="77777777" w:rsidR="000236EC" w:rsidRDefault="00462488" w:rsidP="000236EC">
            <w:pPr>
              <w:widowControl w:val="0"/>
              <w:spacing w:after="120" w:line="240" w:lineRule="auto"/>
              <w:ind w:left="149" w:right="122"/>
              <w:jc w:val="both"/>
              <w:rPr>
                <w:sz w:val="24"/>
              </w:rPr>
            </w:pPr>
            <w:r>
              <w:rPr>
                <w:sz w:val="24"/>
              </w:rPr>
              <w:t xml:space="preserve">Sabiedrības līdzdalības rezultātā par Noteikumu projektu netika saņemti ieteikumi, iebildumi vai priekšlikumi. </w:t>
            </w:r>
          </w:p>
          <w:p w14:paraId="49C7430C" w14:textId="0DE45773" w:rsidR="004A5D36" w:rsidRDefault="00462488" w:rsidP="000236EC">
            <w:pPr>
              <w:widowControl w:val="0"/>
              <w:spacing w:after="120" w:line="240" w:lineRule="auto"/>
              <w:ind w:left="149" w:right="122"/>
              <w:jc w:val="both"/>
            </w:pPr>
            <w:r>
              <w:rPr>
                <w:sz w:val="24"/>
              </w:rPr>
              <w:t xml:space="preserve">Tādējādi Noteikumu projekts ir saskaņots bez priekšlikumiem vai iebildumiem. </w:t>
            </w:r>
          </w:p>
        </w:tc>
      </w:tr>
    </w:tbl>
    <w:p w14:paraId="23D874FC" w14:textId="77777777" w:rsidR="004A5D36" w:rsidRDefault="00462488">
      <w:pPr>
        <w:spacing w:line="259" w:lineRule="auto"/>
        <w:ind w:left="0"/>
        <w:jc w:val="both"/>
      </w:pPr>
      <w:r>
        <w:rPr>
          <w:sz w:val="22"/>
        </w:rPr>
        <w:t xml:space="preserve"> </w:t>
      </w:r>
    </w:p>
    <w:sectPr w:rsidR="004A5D36" w:rsidSect="000236EC">
      <w:type w:val="continuous"/>
      <w:pgSz w:w="11910" w:h="16840"/>
      <w:pgMar w:top="1134" w:right="1134"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501A2" w14:textId="77777777" w:rsidR="00DE51A0" w:rsidRDefault="00DE51A0" w:rsidP="00DE51A0">
      <w:pPr>
        <w:spacing w:line="240" w:lineRule="auto"/>
      </w:pPr>
      <w:r>
        <w:separator/>
      </w:r>
    </w:p>
  </w:endnote>
  <w:endnote w:type="continuationSeparator" w:id="0">
    <w:p w14:paraId="7F761202" w14:textId="77777777" w:rsidR="00DE51A0" w:rsidRDefault="00DE51A0" w:rsidP="00DE51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D8348" w14:textId="77777777" w:rsidR="00DE51A0" w:rsidRDefault="00DE51A0" w:rsidP="00DE51A0">
      <w:pPr>
        <w:spacing w:line="240" w:lineRule="auto"/>
      </w:pPr>
      <w:r>
        <w:separator/>
      </w:r>
    </w:p>
  </w:footnote>
  <w:footnote w:type="continuationSeparator" w:id="0">
    <w:p w14:paraId="346B59C5" w14:textId="77777777" w:rsidR="00DE51A0" w:rsidRDefault="00DE51A0" w:rsidP="00DE51A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55FF7"/>
    <w:multiLevelType w:val="hybridMultilevel"/>
    <w:tmpl w:val="BCF4869A"/>
    <w:lvl w:ilvl="0" w:tplc="04260011">
      <w:start w:val="1"/>
      <w:numFmt w:val="decimal"/>
      <w:lvlText w:val="%1)"/>
      <w:lvlJc w:val="left"/>
      <w:pPr>
        <w:ind w:left="822" w:hanging="360"/>
      </w:pPr>
    </w:lvl>
    <w:lvl w:ilvl="1" w:tplc="04260019" w:tentative="1">
      <w:start w:val="1"/>
      <w:numFmt w:val="lowerLetter"/>
      <w:lvlText w:val="%2."/>
      <w:lvlJc w:val="left"/>
      <w:pPr>
        <w:ind w:left="1542" w:hanging="360"/>
      </w:pPr>
    </w:lvl>
    <w:lvl w:ilvl="2" w:tplc="0426001B" w:tentative="1">
      <w:start w:val="1"/>
      <w:numFmt w:val="lowerRoman"/>
      <w:lvlText w:val="%3."/>
      <w:lvlJc w:val="right"/>
      <w:pPr>
        <w:ind w:left="2262" w:hanging="180"/>
      </w:pPr>
    </w:lvl>
    <w:lvl w:ilvl="3" w:tplc="0426000F" w:tentative="1">
      <w:start w:val="1"/>
      <w:numFmt w:val="decimal"/>
      <w:lvlText w:val="%4."/>
      <w:lvlJc w:val="left"/>
      <w:pPr>
        <w:ind w:left="2982" w:hanging="360"/>
      </w:pPr>
    </w:lvl>
    <w:lvl w:ilvl="4" w:tplc="04260019" w:tentative="1">
      <w:start w:val="1"/>
      <w:numFmt w:val="lowerLetter"/>
      <w:lvlText w:val="%5."/>
      <w:lvlJc w:val="left"/>
      <w:pPr>
        <w:ind w:left="3702" w:hanging="360"/>
      </w:pPr>
    </w:lvl>
    <w:lvl w:ilvl="5" w:tplc="0426001B" w:tentative="1">
      <w:start w:val="1"/>
      <w:numFmt w:val="lowerRoman"/>
      <w:lvlText w:val="%6."/>
      <w:lvlJc w:val="right"/>
      <w:pPr>
        <w:ind w:left="4422" w:hanging="180"/>
      </w:pPr>
    </w:lvl>
    <w:lvl w:ilvl="6" w:tplc="0426000F" w:tentative="1">
      <w:start w:val="1"/>
      <w:numFmt w:val="decimal"/>
      <w:lvlText w:val="%7."/>
      <w:lvlJc w:val="left"/>
      <w:pPr>
        <w:ind w:left="5142" w:hanging="360"/>
      </w:pPr>
    </w:lvl>
    <w:lvl w:ilvl="7" w:tplc="04260019" w:tentative="1">
      <w:start w:val="1"/>
      <w:numFmt w:val="lowerLetter"/>
      <w:lvlText w:val="%8."/>
      <w:lvlJc w:val="left"/>
      <w:pPr>
        <w:ind w:left="5862" w:hanging="360"/>
      </w:pPr>
    </w:lvl>
    <w:lvl w:ilvl="8" w:tplc="0426001B" w:tentative="1">
      <w:start w:val="1"/>
      <w:numFmt w:val="lowerRoman"/>
      <w:lvlText w:val="%9."/>
      <w:lvlJc w:val="right"/>
      <w:pPr>
        <w:ind w:left="6582" w:hanging="180"/>
      </w:pPr>
    </w:lvl>
  </w:abstractNum>
  <w:abstractNum w:abstractNumId="1" w15:restartNumberingAfterBreak="0">
    <w:nsid w:val="682F2E04"/>
    <w:multiLevelType w:val="hybridMultilevel"/>
    <w:tmpl w:val="F3709640"/>
    <w:lvl w:ilvl="0" w:tplc="A592461C">
      <w:start w:val="1"/>
      <w:numFmt w:val="bullet"/>
      <w:lvlText w:val="–"/>
      <w:lvlJc w:val="left"/>
      <w:pPr>
        <w:ind w:left="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6857EA">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D61EC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10AA6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6A8C20">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DE8206">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F6328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0834B0">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C079B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3BF2C93"/>
    <w:multiLevelType w:val="hybridMultilevel"/>
    <w:tmpl w:val="59B0451C"/>
    <w:lvl w:ilvl="0" w:tplc="A128F21E">
      <w:start w:val="1"/>
      <w:numFmt w:val="bullet"/>
      <w:lvlText w:val="–"/>
      <w:lvlJc w:val="left"/>
      <w:pPr>
        <w:ind w:left="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86C9A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EAEFA8">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AED1E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DC51F0">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5A9706">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9465D0">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66C5D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10AEC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314527874">
    <w:abstractNumId w:val="2"/>
  </w:num>
  <w:num w:numId="2" w16cid:durableId="191843115">
    <w:abstractNumId w:val="1"/>
  </w:num>
  <w:num w:numId="3" w16cid:durableId="1295913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D36"/>
    <w:rsid w:val="000236EC"/>
    <w:rsid w:val="00462488"/>
    <w:rsid w:val="004A5D36"/>
    <w:rsid w:val="00DE3BC8"/>
    <w:rsid w:val="00DE51A0"/>
    <w:rsid w:val="00F02A2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63C71B"/>
  <w15:docId w15:val="{A36F80D1-2641-4A1F-8B9C-4E5D2E999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pPr>
      <w:spacing w:after="0" w:line="282" w:lineRule="auto"/>
      <w:ind w:left="120"/>
    </w:pPr>
    <w:rPr>
      <w:rFonts w:ascii="Times New Roman" w:eastAsia="Times New Roman" w:hAnsi="Times New Roman" w:cs="Times New Roman"/>
      <w:color w:val="000000"/>
      <w:sz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arakstarindkopa">
    <w:name w:val="List Paragraph"/>
    <w:basedOn w:val="Parasts"/>
    <w:uiPriority w:val="34"/>
    <w:qFormat/>
    <w:rsid w:val="000236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bank.l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ank.lv/"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7DCBCE-06E6-4F55-A2BC-908ADDF6A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Pages>
  <Words>5043</Words>
  <Characters>2875</Characters>
  <Application>Microsoft Office Word</Application>
  <DocSecurity>0</DocSecurity>
  <Lines>23</Lines>
  <Paragraphs>15</Paragraphs>
  <ScaleCrop>false</ScaleCrop>
  <HeadingPairs>
    <vt:vector size="2" baseType="variant">
      <vt:variant>
        <vt:lpstr>Nosaukums</vt:lpstr>
      </vt:variant>
      <vt:variant>
        <vt:i4>1</vt:i4>
      </vt:variant>
    </vt:vector>
  </HeadingPairs>
  <TitlesOfParts>
    <vt:vector size="1" baseType="lpstr">
      <vt:lpstr/>
    </vt:vector>
  </TitlesOfParts>
  <Company>Latvijas Banka</Company>
  <LinksUpToDate>false</LinksUpToDate>
  <CharactersWithSpaces>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Vītola</dc:creator>
  <cp:keywords/>
  <cp:lastModifiedBy>Ineta Strade</cp:lastModifiedBy>
  <cp:revision>3</cp:revision>
  <dcterms:created xsi:type="dcterms:W3CDTF">2025-05-09T12:28:00Z</dcterms:created>
  <dcterms:modified xsi:type="dcterms:W3CDTF">2025-07-14T13:36:00Z</dcterms:modified>
</cp:coreProperties>
</file>