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8ED" w:rsidRPr="00B5705E" w:rsidRDefault="00CE2AF1" w:rsidP="006C6EE1">
      <w:pPr>
        <w:spacing w:after="0" w:line="240" w:lineRule="auto"/>
        <w:jc w:val="center"/>
        <w:rPr>
          <w:rFonts w:ascii="Times New Roman" w:hAnsi="Times New Roman"/>
          <w:b/>
          <w:sz w:val="24"/>
          <w:szCs w:val="24"/>
        </w:rPr>
      </w:pPr>
      <w:r w:rsidRPr="00B5705E">
        <w:rPr>
          <w:rFonts w:ascii="Times New Roman" w:hAnsi="Times New Roman"/>
          <w:b/>
          <w:sz w:val="24"/>
          <w:szCs w:val="24"/>
        </w:rPr>
        <w:t>Ministru kabineta noteikum</w:t>
      </w:r>
      <w:r w:rsidR="00BE08A3" w:rsidRPr="00B5705E">
        <w:rPr>
          <w:rFonts w:ascii="Times New Roman" w:hAnsi="Times New Roman"/>
          <w:b/>
          <w:sz w:val="24"/>
          <w:szCs w:val="24"/>
        </w:rPr>
        <w:t xml:space="preserve">u </w:t>
      </w:r>
      <w:r w:rsidR="000458ED" w:rsidRPr="00B5705E">
        <w:rPr>
          <w:rFonts w:ascii="Times New Roman" w:hAnsi="Times New Roman"/>
          <w:b/>
          <w:sz w:val="24"/>
          <w:szCs w:val="24"/>
        </w:rPr>
        <w:t>projekta</w:t>
      </w:r>
    </w:p>
    <w:p w:rsidR="001E4A66" w:rsidRPr="00B5705E" w:rsidRDefault="00BE08A3" w:rsidP="006C6EE1">
      <w:pPr>
        <w:spacing w:after="0" w:line="240" w:lineRule="auto"/>
        <w:jc w:val="center"/>
        <w:rPr>
          <w:rFonts w:ascii="Times New Roman" w:hAnsi="Times New Roman"/>
          <w:b/>
          <w:sz w:val="24"/>
          <w:szCs w:val="24"/>
        </w:rPr>
      </w:pPr>
      <w:r w:rsidRPr="00B5705E">
        <w:rPr>
          <w:rFonts w:ascii="Times New Roman" w:hAnsi="Times New Roman"/>
          <w:b/>
          <w:sz w:val="24"/>
          <w:szCs w:val="24"/>
        </w:rPr>
        <w:t>„</w:t>
      </w:r>
      <w:r w:rsidR="001E4A66" w:rsidRPr="00B5705E">
        <w:rPr>
          <w:rFonts w:ascii="Times New Roman" w:hAnsi="Times New Roman"/>
          <w:b/>
          <w:sz w:val="24"/>
          <w:szCs w:val="24"/>
        </w:rPr>
        <w:t>Grozījumi Ministru kabineta 2000.gada 26.septembra noteikumos Nr. 330 „Vakcinācijas noteikumi””</w:t>
      </w:r>
    </w:p>
    <w:p w:rsidR="000458ED" w:rsidRPr="00B5705E" w:rsidRDefault="000458ED" w:rsidP="006C6EE1">
      <w:pPr>
        <w:spacing w:after="0" w:line="240" w:lineRule="auto"/>
        <w:jc w:val="center"/>
        <w:rPr>
          <w:rFonts w:ascii="Times New Roman" w:eastAsia="Times New Roman" w:hAnsi="Times New Roman"/>
          <w:sz w:val="24"/>
          <w:szCs w:val="24"/>
          <w:lang w:eastAsia="lv-LV"/>
        </w:rPr>
      </w:pPr>
      <w:r w:rsidRPr="00B5705E">
        <w:rPr>
          <w:rFonts w:ascii="Times New Roman" w:eastAsia="Times New Roman" w:hAnsi="Times New Roman"/>
          <w:b/>
          <w:bCs/>
          <w:sz w:val="24"/>
          <w:szCs w:val="24"/>
          <w:lang w:eastAsia="lv-LV"/>
        </w:rPr>
        <w:t>sākotnējās ietekmes novērtējuma ziņojums (anotācija)</w:t>
      </w:r>
    </w:p>
    <w:p w:rsidR="001461B6" w:rsidRPr="00B5705E" w:rsidRDefault="001461B6" w:rsidP="00B5705E">
      <w:pPr>
        <w:spacing w:after="0" w:line="240" w:lineRule="auto"/>
        <w:jc w:val="both"/>
        <w:rPr>
          <w:rFonts w:ascii="Times New Roman" w:hAnsi="Times New Roman"/>
          <w:b/>
          <w:sz w:val="24"/>
          <w:szCs w:val="24"/>
        </w:rPr>
      </w:pPr>
    </w:p>
    <w:tbl>
      <w:tblPr>
        <w:tblW w:w="9207" w:type="dxa"/>
        <w:tblCellSpacing w:w="0" w:type="dxa"/>
        <w:tblInd w:w="-70" w:type="dxa"/>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tblPr>
      <w:tblGrid>
        <w:gridCol w:w="568"/>
        <w:gridCol w:w="2126"/>
        <w:gridCol w:w="6513"/>
      </w:tblGrid>
      <w:tr w:rsidR="00035B2F" w:rsidRPr="00B5705E" w:rsidTr="00443376">
        <w:trPr>
          <w:tblCellSpacing w:w="0" w:type="dxa"/>
        </w:trPr>
        <w:tc>
          <w:tcPr>
            <w:tcW w:w="9207" w:type="dxa"/>
            <w:gridSpan w:val="3"/>
            <w:tcBorders>
              <w:top w:val="outset" w:sz="6" w:space="0" w:color="auto"/>
              <w:left w:val="outset" w:sz="6" w:space="0" w:color="auto"/>
              <w:bottom w:val="outset" w:sz="6" w:space="0" w:color="auto"/>
              <w:right w:val="outset" w:sz="6" w:space="0" w:color="auto"/>
            </w:tcBorders>
          </w:tcPr>
          <w:p w:rsidR="00035B2F" w:rsidRPr="00B5705E" w:rsidRDefault="00035B2F" w:rsidP="00B5705E">
            <w:pPr>
              <w:spacing w:after="0" w:line="240" w:lineRule="auto"/>
              <w:jc w:val="both"/>
              <w:rPr>
                <w:rFonts w:ascii="Times New Roman" w:eastAsia="Times New Roman" w:hAnsi="Times New Roman"/>
                <w:sz w:val="24"/>
                <w:szCs w:val="24"/>
                <w:lang w:eastAsia="lv-LV"/>
              </w:rPr>
            </w:pPr>
            <w:r w:rsidRPr="00B5705E">
              <w:rPr>
                <w:rFonts w:ascii="Times New Roman" w:eastAsia="Times New Roman" w:hAnsi="Times New Roman"/>
                <w:b/>
                <w:bCs/>
                <w:sz w:val="24"/>
                <w:szCs w:val="24"/>
                <w:lang w:eastAsia="lv-LV"/>
              </w:rPr>
              <w:t>I. Tiesību akta projekta izstrādes nepieciešamība</w:t>
            </w:r>
          </w:p>
        </w:tc>
      </w:tr>
      <w:tr w:rsidR="00035B2F" w:rsidRPr="00B5705E" w:rsidTr="00443376">
        <w:trPr>
          <w:tblCellSpacing w:w="0" w:type="dxa"/>
        </w:trPr>
        <w:tc>
          <w:tcPr>
            <w:tcW w:w="568" w:type="dxa"/>
            <w:tcBorders>
              <w:top w:val="outset" w:sz="6" w:space="0" w:color="auto"/>
              <w:left w:val="outset" w:sz="6" w:space="0" w:color="auto"/>
              <w:bottom w:val="outset" w:sz="6" w:space="0" w:color="auto"/>
              <w:right w:val="outset" w:sz="6" w:space="0" w:color="auto"/>
            </w:tcBorders>
          </w:tcPr>
          <w:p w:rsidR="00035B2F" w:rsidRPr="00B5705E" w:rsidRDefault="00035B2F" w:rsidP="00B5705E">
            <w:pPr>
              <w:spacing w:after="0" w:line="240" w:lineRule="auto"/>
              <w:jc w:val="both"/>
              <w:rPr>
                <w:rFonts w:ascii="Times New Roman" w:eastAsia="Times New Roman" w:hAnsi="Times New Roman"/>
                <w:sz w:val="24"/>
                <w:szCs w:val="24"/>
                <w:lang w:eastAsia="lv-LV"/>
              </w:rPr>
            </w:pPr>
            <w:r w:rsidRPr="00B5705E">
              <w:rPr>
                <w:rFonts w:ascii="Times New Roman" w:eastAsia="Times New Roman" w:hAnsi="Times New Roman"/>
                <w:sz w:val="24"/>
                <w:szCs w:val="24"/>
                <w:lang w:eastAsia="lv-LV"/>
              </w:rPr>
              <w:t>1.</w:t>
            </w:r>
          </w:p>
        </w:tc>
        <w:tc>
          <w:tcPr>
            <w:tcW w:w="2126" w:type="dxa"/>
            <w:tcBorders>
              <w:top w:val="outset" w:sz="6" w:space="0" w:color="auto"/>
              <w:left w:val="outset" w:sz="6" w:space="0" w:color="auto"/>
              <w:bottom w:val="outset" w:sz="6" w:space="0" w:color="auto"/>
              <w:right w:val="outset" w:sz="6" w:space="0" w:color="auto"/>
            </w:tcBorders>
          </w:tcPr>
          <w:p w:rsidR="00035B2F" w:rsidRPr="00B5705E" w:rsidRDefault="00035B2F" w:rsidP="00B5705E">
            <w:pPr>
              <w:spacing w:after="0" w:line="240" w:lineRule="auto"/>
              <w:jc w:val="both"/>
              <w:rPr>
                <w:rFonts w:ascii="Times New Roman" w:eastAsia="Times New Roman" w:hAnsi="Times New Roman"/>
                <w:sz w:val="24"/>
                <w:szCs w:val="24"/>
                <w:lang w:eastAsia="lv-LV"/>
              </w:rPr>
            </w:pPr>
            <w:r w:rsidRPr="00B5705E">
              <w:rPr>
                <w:rFonts w:ascii="Times New Roman" w:eastAsia="Times New Roman" w:hAnsi="Times New Roman"/>
                <w:sz w:val="24"/>
                <w:szCs w:val="24"/>
                <w:lang w:eastAsia="lv-LV"/>
              </w:rPr>
              <w:t> Pamatojums</w:t>
            </w:r>
          </w:p>
        </w:tc>
        <w:tc>
          <w:tcPr>
            <w:tcW w:w="6513" w:type="dxa"/>
            <w:tcBorders>
              <w:top w:val="outset" w:sz="6" w:space="0" w:color="auto"/>
              <w:left w:val="outset" w:sz="6" w:space="0" w:color="auto"/>
              <w:bottom w:val="outset" w:sz="6" w:space="0" w:color="auto"/>
              <w:right w:val="outset" w:sz="6" w:space="0" w:color="auto"/>
            </w:tcBorders>
          </w:tcPr>
          <w:p w:rsidR="009F77C6" w:rsidRPr="006C6EE1" w:rsidRDefault="00AA63ED" w:rsidP="00A440A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Ministru kabineta noteikumu projekts „</w:t>
            </w:r>
            <w:r w:rsidR="006C6EE1" w:rsidRPr="00B878D1">
              <w:rPr>
                <w:rFonts w:ascii="Times New Roman" w:eastAsia="Times New Roman" w:hAnsi="Times New Roman"/>
                <w:sz w:val="24"/>
                <w:szCs w:val="24"/>
                <w:lang w:eastAsia="lv-LV"/>
              </w:rPr>
              <w:t>Grozījum</w:t>
            </w:r>
            <w:r w:rsidR="001705EA">
              <w:rPr>
                <w:rFonts w:ascii="Times New Roman" w:eastAsia="Times New Roman" w:hAnsi="Times New Roman"/>
                <w:sz w:val="24"/>
                <w:szCs w:val="24"/>
                <w:lang w:eastAsia="lv-LV"/>
              </w:rPr>
              <w:t>i</w:t>
            </w:r>
            <w:r w:rsidR="006C6EE1" w:rsidRPr="00B878D1">
              <w:rPr>
                <w:rFonts w:ascii="Times New Roman" w:eastAsia="Times New Roman" w:hAnsi="Times New Roman"/>
                <w:sz w:val="24"/>
                <w:szCs w:val="24"/>
                <w:lang w:eastAsia="lv-LV"/>
              </w:rPr>
              <w:t xml:space="preserve"> </w:t>
            </w:r>
            <w:r w:rsidR="006C6EE1" w:rsidRPr="006C6EE1">
              <w:rPr>
                <w:rFonts w:ascii="Times New Roman" w:hAnsi="Times New Roman"/>
                <w:sz w:val="24"/>
                <w:szCs w:val="24"/>
              </w:rPr>
              <w:t>Ministru kabineta 2000.gada 26.septembra noteikum</w:t>
            </w:r>
            <w:r w:rsidR="006C6EE1">
              <w:rPr>
                <w:rFonts w:ascii="Times New Roman" w:hAnsi="Times New Roman"/>
                <w:sz w:val="24"/>
                <w:szCs w:val="24"/>
              </w:rPr>
              <w:t>os</w:t>
            </w:r>
            <w:r w:rsidR="006C6EE1" w:rsidRPr="006C6EE1">
              <w:rPr>
                <w:rFonts w:ascii="Times New Roman" w:hAnsi="Times New Roman"/>
                <w:sz w:val="24"/>
                <w:szCs w:val="24"/>
              </w:rPr>
              <w:t xml:space="preserve"> Nr.330 „Vakcinācijas noteikumi”</w:t>
            </w:r>
            <w:r>
              <w:rPr>
                <w:rFonts w:ascii="Times New Roman" w:hAnsi="Times New Roman"/>
                <w:sz w:val="24"/>
                <w:szCs w:val="24"/>
              </w:rPr>
              <w:t>”</w:t>
            </w:r>
            <w:r w:rsidR="006C6EE1" w:rsidRPr="006C6EE1">
              <w:rPr>
                <w:rFonts w:ascii="Times New Roman" w:hAnsi="Times New Roman"/>
                <w:sz w:val="24"/>
                <w:szCs w:val="24"/>
              </w:rPr>
              <w:t xml:space="preserve"> (turpmāk – </w:t>
            </w:r>
            <w:r w:rsidR="001705EA">
              <w:rPr>
                <w:rFonts w:ascii="Times New Roman" w:hAnsi="Times New Roman"/>
                <w:sz w:val="24"/>
                <w:szCs w:val="24"/>
              </w:rPr>
              <w:t>noteikumu projekts</w:t>
            </w:r>
            <w:r w:rsidR="006C6EE1" w:rsidRPr="006C6EE1">
              <w:rPr>
                <w:rFonts w:ascii="Times New Roman" w:hAnsi="Times New Roman"/>
                <w:sz w:val="24"/>
                <w:szCs w:val="24"/>
              </w:rPr>
              <w:t xml:space="preserve">) </w:t>
            </w:r>
            <w:r w:rsidR="001705EA">
              <w:rPr>
                <w:rFonts w:ascii="Times New Roman" w:hAnsi="Times New Roman"/>
                <w:sz w:val="24"/>
                <w:szCs w:val="24"/>
              </w:rPr>
              <w:t>izstrādāt</w:t>
            </w:r>
            <w:r>
              <w:rPr>
                <w:rFonts w:ascii="Times New Roman" w:hAnsi="Times New Roman"/>
                <w:sz w:val="24"/>
                <w:szCs w:val="24"/>
              </w:rPr>
              <w:t>s</w:t>
            </w:r>
            <w:r w:rsidR="001705EA">
              <w:rPr>
                <w:rFonts w:ascii="Times New Roman" w:hAnsi="Times New Roman"/>
                <w:sz w:val="24"/>
                <w:szCs w:val="24"/>
              </w:rPr>
              <w:t xml:space="preserve"> saskaņā ar Epidemioloģiskās drošības likuma 30.panta pirmo, otro, trešo daļu un 31.panta piekto daļu</w:t>
            </w:r>
            <w:r w:rsidR="00A440AA">
              <w:rPr>
                <w:rFonts w:ascii="Times New Roman" w:hAnsi="Times New Roman"/>
                <w:sz w:val="24"/>
                <w:szCs w:val="24"/>
              </w:rPr>
              <w:t xml:space="preserve"> </w:t>
            </w:r>
            <w:r w:rsidR="00A440AA" w:rsidRPr="00A440AA">
              <w:rPr>
                <w:rFonts w:ascii="Times New Roman" w:hAnsi="Times New Roman"/>
                <w:sz w:val="24"/>
                <w:szCs w:val="24"/>
              </w:rPr>
              <w:t>un ņemot vērā Veselības ministrijas plānoto budžeta izdevumu samazinājumu 2011.gadā</w:t>
            </w:r>
            <w:r w:rsidR="001705EA" w:rsidRPr="00A440AA">
              <w:rPr>
                <w:rFonts w:ascii="Times New Roman" w:hAnsi="Times New Roman"/>
                <w:sz w:val="24"/>
                <w:szCs w:val="24"/>
              </w:rPr>
              <w:t>.</w:t>
            </w:r>
            <w:r w:rsidR="001705EA">
              <w:rPr>
                <w:rFonts w:ascii="Times New Roman" w:hAnsi="Times New Roman"/>
                <w:sz w:val="24"/>
                <w:szCs w:val="24"/>
              </w:rPr>
              <w:t xml:space="preserve"> </w:t>
            </w:r>
          </w:p>
        </w:tc>
      </w:tr>
      <w:tr w:rsidR="00035B2F" w:rsidRPr="00B5705E" w:rsidTr="00443376">
        <w:trPr>
          <w:tblCellSpacing w:w="0" w:type="dxa"/>
        </w:trPr>
        <w:tc>
          <w:tcPr>
            <w:tcW w:w="568" w:type="dxa"/>
            <w:tcBorders>
              <w:top w:val="outset" w:sz="6" w:space="0" w:color="auto"/>
              <w:left w:val="outset" w:sz="6" w:space="0" w:color="auto"/>
              <w:bottom w:val="outset" w:sz="6" w:space="0" w:color="auto"/>
              <w:right w:val="outset" w:sz="6" w:space="0" w:color="auto"/>
            </w:tcBorders>
          </w:tcPr>
          <w:p w:rsidR="00035B2F" w:rsidRPr="00B5705E" w:rsidRDefault="00035B2F" w:rsidP="00B5705E">
            <w:pPr>
              <w:spacing w:after="0" w:line="240" w:lineRule="auto"/>
              <w:jc w:val="both"/>
              <w:rPr>
                <w:rFonts w:ascii="Times New Roman" w:eastAsia="Times New Roman" w:hAnsi="Times New Roman"/>
                <w:sz w:val="24"/>
                <w:szCs w:val="24"/>
                <w:lang w:eastAsia="lv-LV"/>
              </w:rPr>
            </w:pPr>
            <w:r w:rsidRPr="00B5705E">
              <w:rPr>
                <w:rFonts w:ascii="Times New Roman" w:eastAsia="Times New Roman" w:hAnsi="Times New Roman"/>
                <w:sz w:val="24"/>
                <w:szCs w:val="24"/>
                <w:lang w:eastAsia="lv-LV"/>
              </w:rPr>
              <w:t>2.</w:t>
            </w:r>
          </w:p>
        </w:tc>
        <w:tc>
          <w:tcPr>
            <w:tcW w:w="2126" w:type="dxa"/>
            <w:tcBorders>
              <w:top w:val="outset" w:sz="6" w:space="0" w:color="auto"/>
              <w:left w:val="outset" w:sz="6" w:space="0" w:color="auto"/>
              <w:bottom w:val="outset" w:sz="6" w:space="0" w:color="auto"/>
              <w:right w:val="outset" w:sz="6" w:space="0" w:color="auto"/>
            </w:tcBorders>
          </w:tcPr>
          <w:p w:rsidR="00035B2F" w:rsidRPr="00B5705E" w:rsidRDefault="00035B2F" w:rsidP="00B5705E">
            <w:pPr>
              <w:spacing w:after="0" w:line="240" w:lineRule="auto"/>
              <w:jc w:val="both"/>
              <w:rPr>
                <w:rFonts w:ascii="Times New Roman" w:eastAsia="Times New Roman" w:hAnsi="Times New Roman"/>
                <w:sz w:val="24"/>
                <w:szCs w:val="24"/>
                <w:lang w:eastAsia="lv-LV"/>
              </w:rPr>
            </w:pPr>
            <w:r w:rsidRPr="00B5705E">
              <w:rPr>
                <w:rFonts w:ascii="Times New Roman" w:eastAsia="Times New Roman" w:hAnsi="Times New Roman"/>
                <w:sz w:val="24"/>
                <w:szCs w:val="24"/>
                <w:lang w:eastAsia="lv-LV"/>
              </w:rPr>
              <w:t> Pašreizējā situācija un problēmas</w:t>
            </w:r>
          </w:p>
          <w:p w:rsidR="00035B2F" w:rsidRPr="00B5705E" w:rsidRDefault="00035B2F" w:rsidP="00B5705E">
            <w:pPr>
              <w:spacing w:after="0" w:line="240" w:lineRule="auto"/>
              <w:jc w:val="both"/>
              <w:rPr>
                <w:rFonts w:ascii="Times New Roman" w:eastAsia="Times New Roman" w:hAnsi="Times New Roman"/>
                <w:sz w:val="24"/>
                <w:szCs w:val="24"/>
                <w:lang w:eastAsia="lv-LV"/>
              </w:rPr>
            </w:pPr>
            <w:r w:rsidRPr="00B5705E">
              <w:rPr>
                <w:rFonts w:ascii="Times New Roman" w:eastAsia="Times New Roman" w:hAnsi="Times New Roman"/>
                <w:sz w:val="24"/>
                <w:szCs w:val="24"/>
                <w:lang w:eastAsia="lv-LV"/>
              </w:rPr>
              <w:t> </w:t>
            </w:r>
          </w:p>
          <w:p w:rsidR="00035B2F" w:rsidRPr="00B5705E" w:rsidRDefault="00035B2F" w:rsidP="00B5705E">
            <w:pPr>
              <w:spacing w:after="0" w:line="240" w:lineRule="auto"/>
              <w:jc w:val="both"/>
              <w:rPr>
                <w:rFonts w:ascii="Times New Roman" w:eastAsia="Times New Roman" w:hAnsi="Times New Roman"/>
                <w:sz w:val="24"/>
                <w:szCs w:val="24"/>
                <w:lang w:eastAsia="lv-LV"/>
              </w:rPr>
            </w:pPr>
            <w:r w:rsidRPr="00B5705E">
              <w:rPr>
                <w:rFonts w:ascii="Times New Roman" w:eastAsia="Times New Roman" w:hAnsi="Times New Roman"/>
                <w:sz w:val="24"/>
                <w:szCs w:val="24"/>
                <w:lang w:eastAsia="lv-LV"/>
              </w:rPr>
              <w:t> </w:t>
            </w:r>
          </w:p>
        </w:tc>
        <w:tc>
          <w:tcPr>
            <w:tcW w:w="6513" w:type="dxa"/>
            <w:tcBorders>
              <w:top w:val="outset" w:sz="6" w:space="0" w:color="auto"/>
              <w:left w:val="outset" w:sz="6" w:space="0" w:color="auto"/>
              <w:bottom w:val="outset" w:sz="6" w:space="0" w:color="auto"/>
              <w:right w:val="outset" w:sz="6" w:space="0" w:color="auto"/>
            </w:tcBorders>
          </w:tcPr>
          <w:p w:rsidR="00810173" w:rsidRDefault="001705EA" w:rsidP="00B5705E">
            <w:pPr>
              <w:pStyle w:val="naisf"/>
              <w:spacing w:before="0" w:beforeAutospacing="0" w:after="0" w:afterAutospacing="0"/>
              <w:jc w:val="both"/>
            </w:pPr>
            <w:r>
              <w:t xml:space="preserve">Ministru kabineta </w:t>
            </w:r>
            <w:r w:rsidRPr="006C6EE1">
              <w:t>2000.gada 26.septembra noteikum</w:t>
            </w:r>
            <w:r>
              <w:t>os</w:t>
            </w:r>
            <w:r w:rsidRPr="006C6EE1">
              <w:t xml:space="preserve"> Nr.330 „Vakcinācijas noteikumi” </w:t>
            </w:r>
            <w:r>
              <w:t xml:space="preserve">(turpmāk – MK noteikumi) ir noteikta vakcinācijas plānošanas un organizēšanas kārtībā, kādā vakcinācijas iestādes gatavo ikmēneša vakcīnu pasūtījumus un atskaitās par izlietotajām vakcīnām. </w:t>
            </w:r>
            <w:r w:rsidR="0005639E" w:rsidRPr="00B5705E">
              <w:t xml:space="preserve">Saskaņā ar </w:t>
            </w:r>
            <w:r>
              <w:t>MK noteikumu</w:t>
            </w:r>
            <w:r w:rsidR="009C212F" w:rsidRPr="00B5705E">
              <w:t xml:space="preserve"> 10.2. apakšpunktu </w:t>
            </w:r>
            <w:r w:rsidRPr="00B5705E">
              <w:t xml:space="preserve">vakcinācijas iestādes </w:t>
            </w:r>
            <w:r w:rsidR="009C212F" w:rsidRPr="00B5705E">
              <w:t xml:space="preserve">katru mēnesi </w:t>
            </w:r>
            <w:r>
              <w:t>valsts aģentūras „</w:t>
            </w:r>
            <w:r w:rsidR="009C212F" w:rsidRPr="00B5705E">
              <w:t>Latvijas Infektoloģijas centr</w:t>
            </w:r>
            <w:r>
              <w:t>s” (turpmāk – Latvijas Infektoloģijas centrs)</w:t>
            </w:r>
            <w:r w:rsidR="009C212F" w:rsidRPr="00B5705E">
              <w:t xml:space="preserve"> attiecīgā reģiona epidemiologam </w:t>
            </w:r>
            <w:r>
              <w:t xml:space="preserve">iesniedz </w:t>
            </w:r>
            <w:r w:rsidR="009C212F" w:rsidRPr="00B5705E">
              <w:t xml:space="preserve">vakcīnu pasūtījumu kārtējam mēnesim un pārskatu par vakcīnu izlietojumu iepriekšējā mēnesī, aizpildot </w:t>
            </w:r>
            <w:r>
              <w:t>MK</w:t>
            </w:r>
            <w:r w:rsidR="00B4340E">
              <w:t xml:space="preserve"> </w:t>
            </w:r>
            <w:r w:rsidR="009C212F" w:rsidRPr="00B5705E">
              <w:t>noteikumu 3.pielikumu. Savukārt par iedzīvotāju imunizāciju vakcinācijas iestādes aizpild</w:t>
            </w:r>
            <w:r>
              <w:t>a</w:t>
            </w:r>
            <w:r w:rsidR="009C212F" w:rsidRPr="00B5705E">
              <w:t xml:space="preserve"> </w:t>
            </w:r>
            <w:r>
              <w:t>MK</w:t>
            </w:r>
            <w:r w:rsidR="00B4340E">
              <w:t xml:space="preserve"> noteikumu </w:t>
            </w:r>
            <w:r w:rsidR="009C212F" w:rsidRPr="00B5705E">
              <w:t>4.pielikumu, kuru arī iesniedz Latvijas Infektoloģijas centra</w:t>
            </w:r>
            <w:r w:rsidR="008B2FBD">
              <w:t>m.</w:t>
            </w:r>
            <w:r w:rsidR="009C212F" w:rsidRPr="00B5705E">
              <w:t xml:space="preserve"> </w:t>
            </w:r>
            <w:r w:rsidR="0053671C" w:rsidRPr="00B5705E">
              <w:t>Ņemot vērā, ka</w:t>
            </w:r>
            <w:r w:rsidR="00C971F0">
              <w:t xml:space="preserve"> </w:t>
            </w:r>
            <w:r w:rsidR="0053671C" w:rsidRPr="00B5705E">
              <w:t>abas iepriekšminētās veidlapas aizpilda vakcinācijas iestāde</w:t>
            </w:r>
            <w:r w:rsidR="0070369D" w:rsidRPr="00B5705E">
              <w:t>,</w:t>
            </w:r>
            <w:r w:rsidR="00C971F0">
              <w:t xml:space="preserve"> </w:t>
            </w:r>
            <w:r w:rsidR="00C771DB">
              <w:t>tās vienlaicīgi tiek</w:t>
            </w:r>
            <w:r w:rsidR="0053671C" w:rsidRPr="00B5705E">
              <w:t xml:space="preserve"> iesniegtas vienā institūcijā</w:t>
            </w:r>
            <w:r w:rsidR="0070369D" w:rsidRPr="00B5705E">
              <w:t>,</w:t>
            </w:r>
            <w:r w:rsidR="00C971F0">
              <w:t xml:space="preserve"> kā arī šo veidlapu dati viens o</w:t>
            </w:r>
            <w:r w:rsidR="00810173">
              <w:t>t</w:t>
            </w:r>
            <w:r w:rsidR="00C971F0">
              <w:t>ru papildina,</w:t>
            </w:r>
            <w:r w:rsidR="0053671C" w:rsidRPr="00B5705E">
              <w:t xml:space="preserve"> nepieciešams šīs veidlapas apvienot vienā</w:t>
            </w:r>
            <w:r w:rsidR="00810173">
              <w:t>,</w:t>
            </w:r>
            <w:r w:rsidR="0053671C" w:rsidRPr="00B5705E">
              <w:t xml:space="preserve"> tā samazinot ārstniecības personai pārskatu daudzumu</w:t>
            </w:r>
            <w:r w:rsidR="00BC79F0">
              <w:t xml:space="preserve"> un optimizējot darbu imunizācijas pārraudzības jomā.</w:t>
            </w:r>
            <w:r w:rsidR="00810173">
              <w:t xml:space="preserve"> </w:t>
            </w:r>
          </w:p>
          <w:p w:rsidR="00810173" w:rsidRDefault="008D650F" w:rsidP="003A7F80">
            <w:pPr>
              <w:pStyle w:val="naisf"/>
              <w:spacing w:before="0" w:beforeAutospacing="0" w:after="0" w:afterAutospacing="0"/>
              <w:jc w:val="both"/>
            </w:pPr>
            <w:r>
              <w:t xml:space="preserve">Lai uzlabotu imunizācijas aptveres datu kvalitāti, konkretizējot datu sniedzējus – ģimenes ārstus un izvērtēt imunizācijas rādītājus katrā ģimenes ārsta praksē, </w:t>
            </w:r>
            <w:r w:rsidR="00DB60B7">
              <w:t>nepieciešams</w:t>
            </w:r>
            <w:r w:rsidR="00B4340E">
              <w:t xml:space="preserve"> </w:t>
            </w:r>
            <w:r w:rsidR="001705EA">
              <w:t>MK</w:t>
            </w:r>
            <w:r w:rsidR="00B4340E">
              <w:t xml:space="preserve"> </w:t>
            </w:r>
            <w:r w:rsidR="00DB60B7">
              <w:t xml:space="preserve"> </w:t>
            </w:r>
            <w:r>
              <w:t>noteikum</w:t>
            </w:r>
            <w:r w:rsidR="00DB60B7">
              <w:t>us</w:t>
            </w:r>
            <w:r>
              <w:t xml:space="preserve"> papildināt ar 10.</w:t>
            </w:r>
            <w:r w:rsidRPr="008D650F">
              <w:rPr>
                <w:vertAlign w:val="superscript"/>
              </w:rPr>
              <w:t>1</w:t>
            </w:r>
            <w:r>
              <w:rPr>
                <w:vertAlign w:val="superscript"/>
              </w:rPr>
              <w:t xml:space="preserve"> </w:t>
            </w:r>
            <w:r>
              <w:t>punktu</w:t>
            </w:r>
            <w:r w:rsidR="00824A1A">
              <w:t xml:space="preserve"> jaunā redakcijā</w:t>
            </w:r>
            <w:r>
              <w:t>,</w:t>
            </w:r>
            <w:r w:rsidR="00810173">
              <w:t xml:space="preserve"> bet 10.3. apakšpunkts </w:t>
            </w:r>
            <w:r w:rsidR="00DB60B7">
              <w:t xml:space="preserve">jāsvītro un 5.pielikums jāizdod jaunā redakcijā atbilstoši </w:t>
            </w:r>
            <w:r w:rsidR="00553076">
              <w:t>MK noteikumu 1.pielikumā noteiktajam</w:t>
            </w:r>
            <w:r w:rsidR="000A596F">
              <w:t xml:space="preserve"> vakcinācijas kalendāram.</w:t>
            </w:r>
            <w:r w:rsidR="00810173">
              <w:t xml:space="preserve"> </w:t>
            </w:r>
          </w:p>
          <w:p w:rsidR="003A7F80" w:rsidRPr="00B5705E" w:rsidRDefault="000A596F" w:rsidP="003A7F80">
            <w:pPr>
              <w:pStyle w:val="naisf"/>
              <w:spacing w:before="0" w:beforeAutospacing="0" w:after="0" w:afterAutospacing="0"/>
              <w:jc w:val="both"/>
            </w:pPr>
            <w:r>
              <w:t xml:space="preserve">Ievērojot, </w:t>
            </w:r>
            <w:r w:rsidR="00322BB7">
              <w:t xml:space="preserve">ka </w:t>
            </w:r>
            <w:r>
              <w:t>MK noteikumu 10.3. apakšpunkts</w:t>
            </w:r>
            <w:r w:rsidR="00322BB7">
              <w:t xml:space="preserve"> tiek svītrots ar 2011.gada 1.janvāri, nepieciešams paredzēt</w:t>
            </w:r>
            <w:r>
              <w:t xml:space="preserve">, ka </w:t>
            </w:r>
            <w:r w:rsidR="003A7F80">
              <w:t>MK noteikumu 10.3.2. apakšpunkt</w:t>
            </w:r>
            <w:r>
              <w:t>s</w:t>
            </w:r>
            <w:r w:rsidR="003A7F80">
              <w:t xml:space="preserve"> </w:t>
            </w:r>
            <w:r>
              <w:t>zaudē spēku</w:t>
            </w:r>
            <w:r w:rsidR="003A7F80">
              <w:t xml:space="preserve"> 2010.gada 20.decembr</w:t>
            </w:r>
            <w:r>
              <w:t>ī</w:t>
            </w:r>
            <w:r w:rsidR="003A7F80">
              <w:t xml:space="preserve">, jo tad stājas spēkā jaunā veidlapa </w:t>
            </w:r>
            <w:r>
              <w:t xml:space="preserve">„Pārskats </w:t>
            </w:r>
            <w:r w:rsidRPr="000A596F">
              <w:rPr>
                <w:bCs/>
              </w:rPr>
              <w:t xml:space="preserve">par vakcinācijas kalendāra ietvaros vakcinētajām personām” </w:t>
            </w:r>
            <w:r w:rsidRPr="000A596F">
              <w:t xml:space="preserve"> (5.pielikums). </w:t>
            </w:r>
            <w:r w:rsidR="004A59BF">
              <w:t xml:space="preserve">Pamatojums šādam atšķirīgam normu spēkā stāšanās termiņam ir nepieciešamība uzlabot vakcinācijas aptveri katra ģimenes ārsta praksē. </w:t>
            </w:r>
            <w:r w:rsidR="005A5CC0">
              <w:t>Lai varētu uzsākt imunizācijas datu izvērtēšanu par 2010.gadu katrā ģimenes ārsta praksē jau pēc jaunās veidlapas</w:t>
            </w:r>
            <w:r w:rsidR="0034092A">
              <w:t xml:space="preserve"> „Pārskats </w:t>
            </w:r>
            <w:r w:rsidR="0034092A" w:rsidRPr="000A596F">
              <w:rPr>
                <w:bCs/>
              </w:rPr>
              <w:t xml:space="preserve">par vakcinācijas kalendāra ietvaros vakcinētajām </w:t>
            </w:r>
            <w:r w:rsidR="0034092A" w:rsidRPr="000A596F">
              <w:rPr>
                <w:bCs/>
              </w:rPr>
              <w:lastRenderedPageBreak/>
              <w:t xml:space="preserve">personām” </w:t>
            </w:r>
            <w:r w:rsidR="0034092A" w:rsidRPr="000A596F">
              <w:t xml:space="preserve"> (5.pielikums)</w:t>
            </w:r>
            <w:r w:rsidR="005A5CC0">
              <w:t>, nepieciešams noteikt spēkā stāšanās termiņu ar 2010.gada 20.decembri. Pretējā gadījumā ģimenes ārsti 2011.gada 1.janvārī iesniegs vecā parauga veidlapu saskaņā ar MK noteikumu 10.3.2. apakšpunktu.</w:t>
            </w:r>
          </w:p>
          <w:p w:rsidR="00DB60B7" w:rsidRDefault="00824A1A" w:rsidP="00B5705E">
            <w:pPr>
              <w:pStyle w:val="naisf"/>
              <w:spacing w:before="0" w:beforeAutospacing="0" w:after="0" w:afterAutospacing="0"/>
              <w:jc w:val="both"/>
            </w:pPr>
            <w:r>
              <w:t>Lai novērstu vakcīnu bojājumus, kas rodas elektroapgādes bojājumu vai ledusskapja bojājumu dēļ</w:t>
            </w:r>
            <w:r w:rsidR="00DB60B7">
              <w:t xml:space="preserve"> (</w:t>
            </w:r>
            <w:r>
              <w:t>2008.gadā un 2010.gadā</w:t>
            </w:r>
            <w:r w:rsidR="00DB60B7">
              <w:t xml:space="preserve"> vakcīnas bija bojātas trīs vakcinācijas iestādēs)</w:t>
            </w:r>
            <w:r>
              <w:t xml:space="preserve">, </w:t>
            </w:r>
            <w:r w:rsidR="00DB60B7">
              <w:t xml:space="preserve">nepieciešams nosacījums par rīcību šādā situācijā. </w:t>
            </w:r>
          </w:p>
          <w:p w:rsidR="005A5CC0" w:rsidRDefault="00824A1A" w:rsidP="000B6691">
            <w:pPr>
              <w:pStyle w:val="naisf"/>
              <w:spacing w:before="0" w:beforeAutospacing="0" w:after="0" w:afterAutospacing="0"/>
              <w:jc w:val="both"/>
            </w:pPr>
            <w:r>
              <w:t xml:space="preserve">Lai 2011.gadā varētu </w:t>
            </w:r>
            <w:r w:rsidR="000B6691">
              <w:t>uzsākt datu analīzi pēc jaun</w:t>
            </w:r>
            <w:r w:rsidR="00A440AA">
              <w:t>ā</w:t>
            </w:r>
            <w:r w:rsidR="000B6691">
              <w:t>m veidlapām</w:t>
            </w:r>
            <w:r w:rsidR="00177E3C">
              <w:t xml:space="preserve">, nepieciešams noteikt </w:t>
            </w:r>
            <w:r w:rsidR="00A440AA">
              <w:t>laiku, no kura izmantojamas jaunās veidlapas</w:t>
            </w:r>
            <w:r w:rsidR="000B6691">
              <w:t>.</w:t>
            </w:r>
          </w:p>
          <w:p w:rsidR="0088064B" w:rsidRDefault="00A440AA" w:rsidP="0088064B">
            <w:pPr>
              <w:spacing w:after="0" w:line="240" w:lineRule="auto"/>
              <w:jc w:val="both"/>
              <w:rPr>
                <w:rFonts w:ascii="Times New Roman" w:hAnsi="Times New Roman"/>
                <w:sz w:val="24"/>
                <w:szCs w:val="24"/>
              </w:rPr>
            </w:pPr>
            <w:r>
              <w:rPr>
                <w:rFonts w:ascii="Times New Roman" w:hAnsi="Times New Roman"/>
                <w:sz w:val="24"/>
                <w:szCs w:val="24"/>
              </w:rPr>
              <w:t xml:space="preserve">Šobrīd MK noteikumu 57.punkts nosaka, ka vakcināciju pret </w:t>
            </w:r>
            <w:proofErr w:type="spellStart"/>
            <w:r>
              <w:rPr>
                <w:rFonts w:ascii="Times New Roman" w:hAnsi="Times New Roman"/>
                <w:sz w:val="24"/>
                <w:szCs w:val="24"/>
              </w:rPr>
              <w:t>rotavīrusu</w:t>
            </w:r>
            <w:proofErr w:type="spellEnd"/>
            <w:r>
              <w:rPr>
                <w:rFonts w:ascii="Times New Roman" w:hAnsi="Times New Roman"/>
                <w:sz w:val="24"/>
                <w:szCs w:val="24"/>
              </w:rPr>
              <w:t xml:space="preserve"> infekciju </w:t>
            </w:r>
            <w:r w:rsidR="00394113">
              <w:rPr>
                <w:rFonts w:ascii="Times New Roman" w:hAnsi="Times New Roman"/>
                <w:sz w:val="24"/>
                <w:szCs w:val="24"/>
              </w:rPr>
              <w:t xml:space="preserve">bērniem </w:t>
            </w:r>
            <w:r>
              <w:rPr>
                <w:rFonts w:ascii="Times New Roman" w:hAnsi="Times New Roman"/>
                <w:sz w:val="24"/>
                <w:szCs w:val="24"/>
              </w:rPr>
              <w:t>jāuzsāk 2011.gada 1.janvārī</w:t>
            </w:r>
            <w:r w:rsidR="00394113">
              <w:rPr>
                <w:rFonts w:ascii="Times New Roman" w:hAnsi="Times New Roman"/>
                <w:sz w:val="24"/>
                <w:szCs w:val="24"/>
              </w:rPr>
              <w:t>, tomēr ņemot vērā, ka nepieciešams būtiski samazināt valsts budžeta līdzekļus, ar</w:t>
            </w:r>
            <w:r w:rsidR="00CA6E7C" w:rsidRPr="00CA6E7C">
              <w:rPr>
                <w:rFonts w:ascii="Times New Roman" w:hAnsi="Times New Roman"/>
                <w:sz w:val="24"/>
                <w:szCs w:val="24"/>
              </w:rPr>
              <w:t xml:space="preserve"> 2011.gadu netiks uzsākta bērnu vakcinācija pret </w:t>
            </w:r>
            <w:proofErr w:type="spellStart"/>
            <w:r w:rsidR="00CA6E7C" w:rsidRPr="00CA6E7C">
              <w:rPr>
                <w:rFonts w:ascii="Times New Roman" w:hAnsi="Times New Roman"/>
                <w:sz w:val="24"/>
                <w:szCs w:val="24"/>
              </w:rPr>
              <w:t>rotavīrusu</w:t>
            </w:r>
            <w:proofErr w:type="spellEnd"/>
            <w:r w:rsidR="00CA6E7C">
              <w:rPr>
                <w:rFonts w:ascii="Times New Roman" w:hAnsi="Times New Roman"/>
                <w:sz w:val="24"/>
                <w:szCs w:val="24"/>
              </w:rPr>
              <w:t xml:space="preserve"> infekciju</w:t>
            </w:r>
            <w:r w:rsidR="00CA6E7C" w:rsidRPr="00CA6E7C">
              <w:rPr>
                <w:rFonts w:ascii="Times New Roman" w:hAnsi="Times New Roman"/>
                <w:sz w:val="24"/>
                <w:szCs w:val="24"/>
              </w:rPr>
              <w:t xml:space="preserve"> (finanšu ietaupījums 549 491 LVL). Pēdējos divos gados ir notikusi strauja vakcinācijas kalendāra paplašināšana iekļaujot vairākas jaunas vakcīnas (piemēram, 2008.gadā pret</w:t>
            </w:r>
            <w:r w:rsidR="00CA6E7C" w:rsidRPr="00CA6E7C">
              <w:rPr>
                <w:rFonts w:ascii="Times New Roman" w:hAnsi="Times New Roman"/>
                <w:i/>
                <w:sz w:val="24"/>
                <w:szCs w:val="24"/>
              </w:rPr>
              <w:t xml:space="preserve"> vējbak</w:t>
            </w:r>
            <w:r w:rsidR="00CA6E7C">
              <w:rPr>
                <w:rFonts w:ascii="Times New Roman" w:hAnsi="Times New Roman"/>
                <w:i/>
                <w:sz w:val="24"/>
                <w:szCs w:val="24"/>
              </w:rPr>
              <w:t>ām</w:t>
            </w:r>
            <w:r w:rsidR="00CA6E7C" w:rsidRPr="00CA6E7C">
              <w:rPr>
                <w:rFonts w:ascii="Times New Roman" w:hAnsi="Times New Roman"/>
                <w:sz w:val="24"/>
                <w:szCs w:val="24"/>
              </w:rPr>
              <w:t xml:space="preserve"> </w:t>
            </w:r>
            <w:r w:rsidR="00CA6E7C">
              <w:rPr>
                <w:rFonts w:ascii="Times New Roman" w:hAnsi="Times New Roman"/>
                <w:sz w:val="24"/>
                <w:szCs w:val="24"/>
              </w:rPr>
              <w:t>bērniem</w:t>
            </w:r>
            <w:r w:rsidR="00CA6E7C" w:rsidRPr="00CA6E7C">
              <w:rPr>
                <w:rFonts w:ascii="Times New Roman" w:hAnsi="Times New Roman"/>
                <w:sz w:val="24"/>
                <w:szCs w:val="24"/>
              </w:rPr>
              <w:t xml:space="preserve"> 15 mēn</w:t>
            </w:r>
            <w:r w:rsidR="00CA6E7C">
              <w:rPr>
                <w:rFonts w:ascii="Times New Roman" w:hAnsi="Times New Roman"/>
                <w:sz w:val="24"/>
                <w:szCs w:val="24"/>
              </w:rPr>
              <w:t>ešu</w:t>
            </w:r>
            <w:r w:rsidR="00CA6E7C" w:rsidRPr="00CA6E7C">
              <w:rPr>
                <w:rFonts w:ascii="Times New Roman" w:hAnsi="Times New Roman"/>
                <w:sz w:val="24"/>
                <w:szCs w:val="24"/>
              </w:rPr>
              <w:t xml:space="preserve">. vecumā, 2010. gadā pret </w:t>
            </w:r>
            <w:r w:rsidR="00CA6E7C" w:rsidRPr="00CA6E7C">
              <w:rPr>
                <w:rFonts w:ascii="Times New Roman" w:hAnsi="Times New Roman"/>
                <w:i/>
                <w:sz w:val="24"/>
                <w:szCs w:val="24"/>
              </w:rPr>
              <w:t>pneimokoku infekciju</w:t>
            </w:r>
            <w:r w:rsidR="00CA6E7C" w:rsidRPr="00CA6E7C">
              <w:rPr>
                <w:rFonts w:ascii="Times New Roman" w:hAnsi="Times New Roman"/>
                <w:sz w:val="24"/>
                <w:szCs w:val="24"/>
              </w:rPr>
              <w:t xml:space="preserve"> </w:t>
            </w:r>
            <w:r w:rsidR="00CA6E7C">
              <w:rPr>
                <w:rFonts w:ascii="Times New Roman" w:hAnsi="Times New Roman"/>
                <w:sz w:val="24"/>
                <w:szCs w:val="24"/>
              </w:rPr>
              <w:t xml:space="preserve">divus mēnešus veciem bērniem </w:t>
            </w:r>
            <w:r w:rsidR="00CA6E7C" w:rsidRPr="00CA6E7C">
              <w:rPr>
                <w:rFonts w:ascii="Times New Roman" w:hAnsi="Times New Roman"/>
                <w:sz w:val="24"/>
                <w:szCs w:val="24"/>
              </w:rPr>
              <w:t xml:space="preserve">un pret </w:t>
            </w:r>
            <w:r w:rsidR="00CA6E7C" w:rsidRPr="00CA6E7C">
              <w:rPr>
                <w:rFonts w:ascii="Times New Roman" w:hAnsi="Times New Roman"/>
                <w:i/>
                <w:sz w:val="24"/>
                <w:szCs w:val="24"/>
              </w:rPr>
              <w:t xml:space="preserve">cilvēka </w:t>
            </w:r>
            <w:proofErr w:type="spellStart"/>
            <w:r w:rsidR="00CA6E7C" w:rsidRPr="00CA6E7C">
              <w:rPr>
                <w:rFonts w:ascii="Times New Roman" w:hAnsi="Times New Roman"/>
                <w:i/>
                <w:sz w:val="24"/>
                <w:szCs w:val="24"/>
              </w:rPr>
              <w:t>papilomas</w:t>
            </w:r>
            <w:proofErr w:type="spellEnd"/>
            <w:r w:rsidR="00CA6E7C" w:rsidRPr="00CA6E7C">
              <w:rPr>
                <w:rFonts w:ascii="Times New Roman" w:hAnsi="Times New Roman"/>
                <w:i/>
                <w:sz w:val="24"/>
                <w:szCs w:val="24"/>
              </w:rPr>
              <w:t xml:space="preserve"> vīrusu </w:t>
            </w:r>
            <w:r w:rsidR="00CA6E7C">
              <w:rPr>
                <w:rFonts w:ascii="Times New Roman" w:hAnsi="Times New Roman"/>
                <w:i/>
                <w:sz w:val="24"/>
                <w:szCs w:val="24"/>
              </w:rPr>
              <w:t xml:space="preserve">infekciju </w:t>
            </w:r>
            <w:r w:rsidR="00CA6E7C" w:rsidRPr="00CA6E7C">
              <w:rPr>
                <w:rFonts w:ascii="Times New Roman" w:hAnsi="Times New Roman"/>
                <w:sz w:val="24"/>
                <w:szCs w:val="24"/>
              </w:rPr>
              <w:t>12 gadus vecām meitenēm)</w:t>
            </w:r>
            <w:r w:rsidR="002707CE">
              <w:rPr>
                <w:rFonts w:ascii="Times New Roman" w:hAnsi="Times New Roman"/>
                <w:sz w:val="24"/>
                <w:szCs w:val="24"/>
              </w:rPr>
              <w:t xml:space="preserve">. </w:t>
            </w:r>
            <w:r w:rsidR="002707CE" w:rsidRPr="002707CE">
              <w:rPr>
                <w:rFonts w:ascii="Times New Roman" w:hAnsi="Times New Roman"/>
                <w:sz w:val="24"/>
                <w:szCs w:val="24"/>
              </w:rPr>
              <w:t>Tajā pat</w:t>
            </w:r>
            <w:r w:rsidR="00CA6E7C" w:rsidRPr="002707CE">
              <w:rPr>
                <w:rFonts w:ascii="Times New Roman" w:hAnsi="Times New Roman"/>
                <w:sz w:val="24"/>
                <w:szCs w:val="24"/>
              </w:rPr>
              <w:t xml:space="preserve"> laikā</w:t>
            </w:r>
            <w:r w:rsidR="002707CE" w:rsidRPr="002707CE">
              <w:rPr>
                <w:rFonts w:ascii="Times New Roman" w:hAnsi="Times New Roman"/>
                <w:sz w:val="24"/>
                <w:szCs w:val="24"/>
              </w:rPr>
              <w:t xml:space="preserve"> salīdzinoši ar 2009. gadu </w:t>
            </w:r>
            <w:r w:rsidR="00CA6E7C" w:rsidRPr="002707CE">
              <w:rPr>
                <w:rFonts w:ascii="Times New Roman" w:hAnsi="Times New Roman"/>
                <w:sz w:val="24"/>
                <w:szCs w:val="24"/>
              </w:rPr>
              <w:t xml:space="preserve"> ir pazeminājusies kopējā vakcinācijas aptvere (vakcinācijas līmenis) </w:t>
            </w:r>
            <w:r w:rsidR="002707CE">
              <w:rPr>
                <w:rFonts w:ascii="Times New Roman" w:hAnsi="Times New Roman"/>
                <w:sz w:val="24"/>
                <w:szCs w:val="24"/>
              </w:rPr>
              <w:t>u</w:t>
            </w:r>
            <w:r w:rsidR="002707CE" w:rsidRPr="002707CE">
              <w:rPr>
                <w:rFonts w:ascii="Times New Roman" w:hAnsi="Times New Roman"/>
                <w:sz w:val="24"/>
                <w:szCs w:val="24"/>
              </w:rPr>
              <w:t>n atsevišķās vecumgrupās tie vairs neatbilst I</w:t>
            </w:r>
            <w:r w:rsidR="002707CE">
              <w:rPr>
                <w:rFonts w:ascii="Times New Roman" w:hAnsi="Times New Roman"/>
                <w:sz w:val="24"/>
                <w:szCs w:val="24"/>
              </w:rPr>
              <w:t>munizācijas valsts programmas</w:t>
            </w:r>
            <w:r w:rsidR="002707CE" w:rsidRPr="002707CE">
              <w:rPr>
                <w:rFonts w:ascii="Times New Roman" w:hAnsi="Times New Roman"/>
                <w:sz w:val="24"/>
                <w:szCs w:val="24"/>
              </w:rPr>
              <w:t xml:space="preserve"> uzdevumiem. Imunizācijas rādītāju pasliktināšanās tendence iezīmējusies jau 2008.gadā un saistīta ar dažādu sociāli ekonomisko faktoru ietekmi, kā arī </w:t>
            </w:r>
            <w:r w:rsidR="002707CE">
              <w:rPr>
                <w:rFonts w:ascii="Times New Roman" w:hAnsi="Times New Roman"/>
                <w:sz w:val="24"/>
                <w:szCs w:val="24"/>
              </w:rPr>
              <w:t xml:space="preserve">ar nepamatotu </w:t>
            </w:r>
            <w:r w:rsidR="002707CE" w:rsidRPr="002707CE">
              <w:rPr>
                <w:rFonts w:ascii="Times New Roman" w:hAnsi="Times New Roman"/>
                <w:sz w:val="24"/>
                <w:szCs w:val="24"/>
              </w:rPr>
              <w:t>vakcinācijas pretinieku viedokļu popularizēšanu sabiedrībā</w:t>
            </w:r>
            <w:r w:rsidR="002707CE">
              <w:rPr>
                <w:rFonts w:ascii="Times New Roman" w:hAnsi="Times New Roman"/>
                <w:sz w:val="24"/>
                <w:szCs w:val="24"/>
              </w:rPr>
              <w:t xml:space="preserve">. </w:t>
            </w:r>
          </w:p>
          <w:p w:rsidR="0088064B" w:rsidRDefault="002707CE" w:rsidP="0088064B">
            <w:pPr>
              <w:spacing w:after="0" w:line="240" w:lineRule="auto"/>
              <w:jc w:val="both"/>
            </w:pPr>
            <w:r>
              <w:rPr>
                <w:rFonts w:ascii="Times New Roman" w:hAnsi="Times New Roman"/>
                <w:sz w:val="24"/>
                <w:szCs w:val="24"/>
              </w:rPr>
              <w:t xml:space="preserve">Lai uzlabotu un stabilizētu </w:t>
            </w:r>
            <w:r w:rsidR="0088064B">
              <w:rPr>
                <w:rFonts w:ascii="Times New Roman" w:hAnsi="Times New Roman"/>
                <w:sz w:val="24"/>
                <w:szCs w:val="24"/>
              </w:rPr>
              <w:t xml:space="preserve">vakcinācijas līmeni </w:t>
            </w:r>
            <w:r>
              <w:rPr>
                <w:rFonts w:ascii="Times New Roman" w:hAnsi="Times New Roman"/>
                <w:sz w:val="24"/>
                <w:szCs w:val="24"/>
              </w:rPr>
              <w:t>valstī</w:t>
            </w:r>
            <w:r w:rsidR="0088064B">
              <w:rPr>
                <w:rFonts w:ascii="Times New Roman" w:hAnsi="Times New Roman"/>
                <w:sz w:val="24"/>
                <w:szCs w:val="24"/>
              </w:rPr>
              <w:t xml:space="preserve">, Veselības ministrija plāno palielināt iepriekšējos gados ieviesto vakcīnu vakcinācijas aptveri, </w:t>
            </w:r>
            <w:r w:rsidR="00507592">
              <w:rPr>
                <w:rFonts w:ascii="Times New Roman" w:hAnsi="Times New Roman"/>
                <w:sz w:val="24"/>
                <w:szCs w:val="24"/>
              </w:rPr>
              <w:t>pievēršot lielāku uzmanību komunikācijām ar sabiedrību,</w:t>
            </w:r>
            <w:r w:rsidR="0088064B">
              <w:rPr>
                <w:rFonts w:ascii="Times New Roman" w:hAnsi="Times New Roman"/>
                <w:sz w:val="24"/>
                <w:szCs w:val="24"/>
              </w:rPr>
              <w:t xml:space="preserve"> un </w:t>
            </w:r>
            <w:r w:rsidR="0088064B" w:rsidRPr="00CA6E7C">
              <w:rPr>
                <w:rFonts w:ascii="Times New Roman" w:hAnsi="Times New Roman"/>
                <w:sz w:val="24"/>
                <w:szCs w:val="24"/>
              </w:rPr>
              <w:t xml:space="preserve">līdz 2014.gadam atlikt vakcīnas pret </w:t>
            </w:r>
            <w:proofErr w:type="spellStart"/>
            <w:r w:rsidR="0088064B">
              <w:rPr>
                <w:rFonts w:ascii="Times New Roman" w:hAnsi="Times New Roman"/>
                <w:sz w:val="24"/>
                <w:szCs w:val="24"/>
              </w:rPr>
              <w:t>rotavīrusu</w:t>
            </w:r>
            <w:proofErr w:type="spellEnd"/>
            <w:r w:rsidR="0088064B">
              <w:rPr>
                <w:rFonts w:ascii="Times New Roman" w:hAnsi="Times New Roman"/>
                <w:sz w:val="24"/>
                <w:szCs w:val="24"/>
              </w:rPr>
              <w:t xml:space="preserve"> infekciju</w:t>
            </w:r>
            <w:r w:rsidR="0088064B" w:rsidRPr="00CA6E7C">
              <w:rPr>
                <w:rFonts w:ascii="Times New Roman" w:hAnsi="Times New Roman"/>
                <w:sz w:val="24"/>
                <w:szCs w:val="24"/>
              </w:rPr>
              <w:t xml:space="preserve"> ieviešanu</w:t>
            </w:r>
            <w:r w:rsidR="0088064B">
              <w:rPr>
                <w:rFonts w:ascii="Times New Roman" w:hAnsi="Times New Roman"/>
                <w:sz w:val="24"/>
                <w:szCs w:val="24"/>
              </w:rPr>
              <w:t xml:space="preserve">. </w:t>
            </w:r>
          </w:p>
          <w:p w:rsidR="00CA6E7C" w:rsidRDefault="00B330FE" w:rsidP="00CA6E7C">
            <w:pPr>
              <w:pStyle w:val="naisf"/>
              <w:spacing w:before="0" w:beforeAutospacing="0" w:after="0" w:afterAutospacing="0"/>
              <w:jc w:val="both"/>
            </w:pPr>
            <w:r>
              <w:t>Šobrīd MK noteikumi nosaka, ka piekto poti pret difteriju, stinguma krampjiem, garo klepu un poliomielītu bērni saņem septiņu gadu vecumā pirms stāšanās  izglītības iestādē. Ņemot vērā, ka šobrīd daudzi bērni izglītības iestādē stājas jau sešu gadu vecumā, ir nepieciešams noteikt, ka ārstniecības persona var veikt vakcināciju pret minētajām slimībām arī sešus gadus vecam bērnam</w:t>
            </w:r>
            <w:r w:rsidR="00CA6E7C">
              <w:t>.</w:t>
            </w:r>
            <w:r w:rsidR="00603EE3">
              <w:t xml:space="preserve"> </w:t>
            </w:r>
          </w:p>
          <w:p w:rsidR="00035B2F" w:rsidRPr="00B5705E" w:rsidRDefault="001F59FB" w:rsidP="00CA6E7C">
            <w:pPr>
              <w:pStyle w:val="naisf"/>
              <w:spacing w:before="0" w:beforeAutospacing="0" w:after="0" w:afterAutospacing="0"/>
              <w:jc w:val="both"/>
            </w:pPr>
            <w:r>
              <w:t>Tā kā daļai bērnu ir kontrindicēta vakcīna pret garo klepu, kas ietilpst kombinētajā vakcīnā</w:t>
            </w:r>
            <w:r w:rsidR="00391C14">
              <w:t xml:space="preserve"> </w:t>
            </w:r>
            <w:r w:rsidR="00720F77">
              <w:t xml:space="preserve">pret difteriju, stinguma krampjiem, garo klepu, poliomielītu, b tipa </w:t>
            </w:r>
            <w:proofErr w:type="spellStart"/>
            <w:r w:rsidR="00720F77" w:rsidRPr="00720F77">
              <w:rPr>
                <w:i/>
              </w:rPr>
              <w:t>Haemophilus</w:t>
            </w:r>
            <w:proofErr w:type="spellEnd"/>
            <w:r w:rsidR="00720F77" w:rsidRPr="00720F77">
              <w:rPr>
                <w:i/>
              </w:rPr>
              <w:t xml:space="preserve"> </w:t>
            </w:r>
            <w:proofErr w:type="spellStart"/>
            <w:r w:rsidR="00720F77" w:rsidRPr="00720F77">
              <w:rPr>
                <w:i/>
              </w:rPr>
              <w:t>influenzae</w:t>
            </w:r>
            <w:proofErr w:type="spellEnd"/>
            <w:r w:rsidR="00720F77">
              <w:t xml:space="preserve"> infekciju un B hepatītu</w:t>
            </w:r>
            <w:r>
              <w:t xml:space="preserve">, </w:t>
            </w:r>
            <w:r w:rsidR="00603EE3">
              <w:t xml:space="preserve">nepieciešams tiesiskais regulējums attiecībā par atsevišķu vakcīnu </w:t>
            </w:r>
            <w:r w:rsidR="00A65A7D">
              <w:t xml:space="preserve">- </w:t>
            </w:r>
            <w:r w:rsidR="00603EE3">
              <w:t xml:space="preserve">vakcīna pret difteriju un  stinguma krampjiem un vakcīna pret poliomielītu pielietojumu. </w:t>
            </w:r>
          </w:p>
        </w:tc>
      </w:tr>
      <w:tr w:rsidR="00035B2F" w:rsidRPr="00B5705E" w:rsidTr="006C743A">
        <w:trPr>
          <w:trHeight w:val="495"/>
          <w:tblCellSpacing w:w="0" w:type="dxa"/>
        </w:trPr>
        <w:tc>
          <w:tcPr>
            <w:tcW w:w="568" w:type="dxa"/>
            <w:tcBorders>
              <w:top w:val="outset" w:sz="6" w:space="0" w:color="auto"/>
              <w:left w:val="outset" w:sz="6" w:space="0" w:color="auto"/>
              <w:bottom w:val="outset" w:sz="6" w:space="0" w:color="auto"/>
              <w:right w:val="outset" w:sz="6" w:space="0" w:color="auto"/>
            </w:tcBorders>
          </w:tcPr>
          <w:p w:rsidR="00035B2F" w:rsidRPr="00B5705E" w:rsidRDefault="003A10E6" w:rsidP="00B5705E">
            <w:pPr>
              <w:spacing w:after="0" w:line="240" w:lineRule="auto"/>
              <w:jc w:val="both"/>
              <w:rPr>
                <w:rFonts w:ascii="Times New Roman" w:eastAsia="Times New Roman" w:hAnsi="Times New Roman"/>
                <w:sz w:val="24"/>
                <w:szCs w:val="24"/>
                <w:lang w:eastAsia="lv-LV"/>
              </w:rPr>
            </w:pPr>
            <w:r w:rsidRPr="00B5705E">
              <w:rPr>
                <w:rFonts w:ascii="Times New Roman" w:eastAsia="Times New Roman" w:hAnsi="Times New Roman"/>
                <w:sz w:val="24"/>
                <w:szCs w:val="24"/>
                <w:lang w:eastAsia="lv-LV"/>
              </w:rPr>
              <w:lastRenderedPageBreak/>
              <w:t>3.</w:t>
            </w:r>
          </w:p>
        </w:tc>
        <w:tc>
          <w:tcPr>
            <w:tcW w:w="2126" w:type="dxa"/>
            <w:tcBorders>
              <w:top w:val="outset" w:sz="6" w:space="0" w:color="auto"/>
              <w:left w:val="outset" w:sz="6" w:space="0" w:color="auto"/>
              <w:bottom w:val="outset" w:sz="6" w:space="0" w:color="auto"/>
              <w:right w:val="outset" w:sz="6" w:space="0" w:color="auto"/>
            </w:tcBorders>
          </w:tcPr>
          <w:p w:rsidR="00035B2F" w:rsidRPr="00B5705E" w:rsidRDefault="00035B2F" w:rsidP="00B5705E">
            <w:pPr>
              <w:spacing w:after="0" w:line="240" w:lineRule="auto"/>
              <w:jc w:val="both"/>
              <w:rPr>
                <w:rFonts w:ascii="Times New Roman" w:eastAsia="Times New Roman" w:hAnsi="Times New Roman"/>
                <w:sz w:val="24"/>
                <w:szCs w:val="24"/>
                <w:lang w:eastAsia="lv-LV"/>
              </w:rPr>
            </w:pPr>
            <w:r w:rsidRPr="00B5705E">
              <w:rPr>
                <w:rFonts w:ascii="Times New Roman" w:eastAsia="Times New Roman" w:hAnsi="Times New Roman"/>
                <w:sz w:val="24"/>
                <w:szCs w:val="24"/>
                <w:lang w:eastAsia="lv-LV"/>
              </w:rPr>
              <w:t> </w:t>
            </w:r>
            <w:r w:rsidR="003A10E6" w:rsidRPr="00B5705E">
              <w:rPr>
                <w:rFonts w:ascii="Times New Roman" w:eastAsia="Times New Roman" w:hAnsi="Times New Roman"/>
                <w:sz w:val="24"/>
                <w:szCs w:val="24"/>
                <w:lang w:eastAsia="lv-LV"/>
              </w:rPr>
              <w:t>Saistītie politikas ietekmes novērtējumi un pētījumi</w:t>
            </w:r>
            <w:r w:rsidRPr="00B5705E">
              <w:rPr>
                <w:rFonts w:ascii="Times New Roman" w:eastAsia="Times New Roman" w:hAnsi="Times New Roman"/>
                <w:sz w:val="24"/>
                <w:szCs w:val="24"/>
                <w:lang w:eastAsia="lv-LV"/>
              </w:rPr>
              <w:t>  </w:t>
            </w:r>
          </w:p>
        </w:tc>
        <w:tc>
          <w:tcPr>
            <w:tcW w:w="6513" w:type="dxa"/>
            <w:tcBorders>
              <w:top w:val="outset" w:sz="6" w:space="0" w:color="auto"/>
              <w:left w:val="outset" w:sz="6" w:space="0" w:color="auto"/>
              <w:bottom w:val="outset" w:sz="6" w:space="0" w:color="auto"/>
              <w:right w:val="outset" w:sz="6" w:space="0" w:color="auto"/>
            </w:tcBorders>
          </w:tcPr>
          <w:p w:rsidR="00035B2F" w:rsidRPr="00B5705E" w:rsidRDefault="003E1E46" w:rsidP="00B5705E">
            <w:pPr>
              <w:spacing w:after="0" w:line="240" w:lineRule="auto"/>
              <w:jc w:val="both"/>
              <w:rPr>
                <w:rFonts w:ascii="Times New Roman" w:hAnsi="Times New Roman"/>
                <w:sz w:val="24"/>
                <w:szCs w:val="24"/>
              </w:rPr>
            </w:pPr>
            <w:r w:rsidRPr="00B5705E">
              <w:rPr>
                <w:rFonts w:ascii="Times New Roman" w:hAnsi="Times New Roman"/>
                <w:sz w:val="24"/>
                <w:szCs w:val="24"/>
              </w:rPr>
              <w:t>Nav</w:t>
            </w:r>
            <w:r w:rsidR="0042447A" w:rsidRPr="00B5705E">
              <w:rPr>
                <w:rFonts w:ascii="Times New Roman" w:hAnsi="Times New Roman"/>
                <w:sz w:val="24"/>
                <w:szCs w:val="24"/>
              </w:rPr>
              <w:t xml:space="preserve"> </w:t>
            </w:r>
            <w:r w:rsidR="001203A9" w:rsidRPr="00B5705E">
              <w:rPr>
                <w:rFonts w:ascii="Times New Roman" w:hAnsi="Times New Roman"/>
                <w:sz w:val="24"/>
                <w:szCs w:val="24"/>
              </w:rPr>
              <w:t>attiecināms.</w:t>
            </w:r>
          </w:p>
        </w:tc>
      </w:tr>
      <w:tr w:rsidR="003A10E6" w:rsidRPr="00B5705E" w:rsidTr="00443376">
        <w:trPr>
          <w:trHeight w:val="652"/>
          <w:tblCellSpacing w:w="0" w:type="dxa"/>
        </w:trPr>
        <w:tc>
          <w:tcPr>
            <w:tcW w:w="568" w:type="dxa"/>
            <w:tcBorders>
              <w:top w:val="outset" w:sz="6" w:space="0" w:color="auto"/>
              <w:left w:val="outset" w:sz="6" w:space="0" w:color="auto"/>
              <w:bottom w:val="outset" w:sz="6" w:space="0" w:color="auto"/>
              <w:right w:val="outset" w:sz="6" w:space="0" w:color="auto"/>
            </w:tcBorders>
          </w:tcPr>
          <w:p w:rsidR="003A10E6" w:rsidRPr="00B5705E" w:rsidRDefault="003A10E6" w:rsidP="00B5705E">
            <w:pPr>
              <w:spacing w:after="0" w:line="240" w:lineRule="auto"/>
              <w:jc w:val="both"/>
              <w:rPr>
                <w:rFonts w:ascii="Times New Roman" w:eastAsia="Times New Roman" w:hAnsi="Times New Roman"/>
                <w:sz w:val="24"/>
                <w:szCs w:val="24"/>
                <w:lang w:eastAsia="lv-LV"/>
              </w:rPr>
            </w:pPr>
            <w:r w:rsidRPr="00B5705E">
              <w:rPr>
                <w:rFonts w:ascii="Times New Roman" w:eastAsia="Times New Roman" w:hAnsi="Times New Roman"/>
                <w:sz w:val="24"/>
                <w:szCs w:val="24"/>
                <w:lang w:eastAsia="lv-LV"/>
              </w:rPr>
              <w:t>4.</w:t>
            </w:r>
          </w:p>
        </w:tc>
        <w:tc>
          <w:tcPr>
            <w:tcW w:w="2126" w:type="dxa"/>
            <w:tcBorders>
              <w:top w:val="outset" w:sz="6" w:space="0" w:color="auto"/>
              <w:left w:val="outset" w:sz="6" w:space="0" w:color="auto"/>
              <w:bottom w:val="outset" w:sz="6" w:space="0" w:color="auto"/>
              <w:right w:val="outset" w:sz="6" w:space="0" w:color="auto"/>
            </w:tcBorders>
          </w:tcPr>
          <w:p w:rsidR="003A10E6" w:rsidRPr="00B5705E" w:rsidRDefault="003A10E6" w:rsidP="00B5705E">
            <w:pPr>
              <w:spacing w:after="0" w:line="240" w:lineRule="auto"/>
              <w:jc w:val="both"/>
              <w:rPr>
                <w:rFonts w:ascii="Times New Roman" w:eastAsia="Times New Roman" w:hAnsi="Times New Roman"/>
                <w:sz w:val="24"/>
                <w:szCs w:val="24"/>
                <w:lang w:eastAsia="lv-LV"/>
              </w:rPr>
            </w:pPr>
            <w:r w:rsidRPr="00B5705E">
              <w:rPr>
                <w:rFonts w:ascii="Times New Roman" w:eastAsia="Times New Roman" w:hAnsi="Times New Roman"/>
                <w:sz w:val="24"/>
                <w:szCs w:val="24"/>
                <w:lang w:eastAsia="lv-LV"/>
              </w:rPr>
              <w:t>Tiesiskā regulējuma mērķis un būtība</w:t>
            </w:r>
          </w:p>
        </w:tc>
        <w:tc>
          <w:tcPr>
            <w:tcW w:w="6513" w:type="dxa"/>
            <w:tcBorders>
              <w:top w:val="outset" w:sz="6" w:space="0" w:color="auto"/>
              <w:left w:val="outset" w:sz="6" w:space="0" w:color="auto"/>
              <w:bottom w:val="outset" w:sz="6" w:space="0" w:color="auto"/>
              <w:right w:val="outset" w:sz="6" w:space="0" w:color="auto"/>
            </w:tcBorders>
          </w:tcPr>
          <w:p w:rsidR="008C68D4" w:rsidRDefault="006F301F" w:rsidP="00391C14">
            <w:pPr>
              <w:pStyle w:val="naisf"/>
              <w:spacing w:before="0" w:beforeAutospacing="0" w:after="0" w:afterAutospacing="0"/>
              <w:jc w:val="both"/>
            </w:pPr>
            <w:r>
              <w:t>Noteikumu projekta mērķis ir u</w:t>
            </w:r>
            <w:r w:rsidR="008C68D4">
              <w:t xml:space="preserve">zlabot imunizācijas aptveres datu kvalitāti, konkretizējot datu sniedzējus – ģimenes ārstus un izvērtēt imunizācijas rādītājus katrā ģimenes ārsta praksē. </w:t>
            </w:r>
          </w:p>
          <w:p w:rsidR="00627AA8" w:rsidRDefault="00627AA8" w:rsidP="00391C14">
            <w:pPr>
              <w:pStyle w:val="naisf"/>
              <w:spacing w:before="0" w:beforeAutospacing="0" w:after="0" w:afterAutospacing="0"/>
              <w:jc w:val="both"/>
            </w:pPr>
            <w:r>
              <w:t>Papildus noteikumu projekts paredz:</w:t>
            </w:r>
          </w:p>
          <w:p w:rsidR="00C4533A" w:rsidRDefault="00627AA8" w:rsidP="00627AA8">
            <w:pPr>
              <w:pStyle w:val="naisf"/>
              <w:spacing w:before="0" w:beforeAutospacing="0" w:after="0" w:afterAutospacing="0"/>
              <w:jc w:val="both"/>
            </w:pPr>
            <w:r>
              <w:t>1) s</w:t>
            </w:r>
            <w:r w:rsidR="00C4533A" w:rsidRPr="00C4533A">
              <w:t>amazināt ārstniecības personu aizpildīto pārskatu daudzumu, apvienojot vakcīnu pasūtījumu ar pārskatu par veiktajām potēm</w:t>
            </w:r>
            <w:r w:rsidR="00C4533A">
              <w:t>, vienlaicīgi vienkāršojot šo procedūru</w:t>
            </w:r>
            <w:r>
              <w:t>;</w:t>
            </w:r>
          </w:p>
          <w:p w:rsidR="00B330FE" w:rsidRPr="00BE7060" w:rsidRDefault="00627AA8" w:rsidP="00C4533A">
            <w:pPr>
              <w:spacing w:after="0" w:line="240" w:lineRule="auto"/>
              <w:jc w:val="both"/>
              <w:rPr>
                <w:rFonts w:ascii="Times New Roman" w:hAnsi="Times New Roman"/>
                <w:sz w:val="24"/>
                <w:szCs w:val="24"/>
              </w:rPr>
            </w:pPr>
            <w:r>
              <w:rPr>
                <w:rFonts w:ascii="Times New Roman" w:hAnsi="Times New Roman"/>
                <w:sz w:val="24"/>
                <w:szCs w:val="24"/>
              </w:rPr>
              <w:t>2) n</w:t>
            </w:r>
            <w:r w:rsidR="00B330FE" w:rsidRPr="00BE7060">
              <w:rPr>
                <w:rFonts w:ascii="Times New Roman" w:hAnsi="Times New Roman"/>
                <w:sz w:val="24"/>
                <w:szCs w:val="24"/>
              </w:rPr>
              <w:t xml:space="preserve">oteikt tiesisko regulējumu atsevišķu vakcīnu </w:t>
            </w:r>
            <w:r w:rsidR="00BE7060">
              <w:rPr>
                <w:rFonts w:ascii="Times New Roman" w:hAnsi="Times New Roman"/>
                <w:sz w:val="24"/>
                <w:szCs w:val="24"/>
              </w:rPr>
              <w:t xml:space="preserve">pielietojumam - </w:t>
            </w:r>
            <w:r w:rsidR="00BE7060" w:rsidRPr="00BE7060">
              <w:rPr>
                <w:rFonts w:ascii="Times New Roman" w:hAnsi="Times New Roman"/>
                <w:sz w:val="24"/>
                <w:szCs w:val="24"/>
              </w:rPr>
              <w:t>vakcīna pret difteriju un  stinguma krampjiem un vakcīna pret poliomielītu</w:t>
            </w:r>
            <w:r>
              <w:rPr>
                <w:rFonts w:ascii="Times New Roman" w:hAnsi="Times New Roman"/>
                <w:sz w:val="24"/>
                <w:szCs w:val="24"/>
              </w:rPr>
              <w:t>;</w:t>
            </w:r>
            <w:r w:rsidR="00BE7060" w:rsidRPr="00BE7060">
              <w:rPr>
                <w:rFonts w:ascii="Times New Roman" w:hAnsi="Times New Roman"/>
                <w:sz w:val="24"/>
                <w:szCs w:val="24"/>
              </w:rPr>
              <w:t xml:space="preserve"> </w:t>
            </w:r>
          </w:p>
          <w:p w:rsidR="00863B6C" w:rsidRDefault="00627AA8" w:rsidP="00391C14">
            <w:pPr>
              <w:pStyle w:val="naisf"/>
              <w:spacing w:before="0" w:beforeAutospacing="0" w:after="0" w:afterAutospacing="0"/>
              <w:jc w:val="both"/>
            </w:pPr>
            <w:r>
              <w:t>3) p</w:t>
            </w:r>
            <w:r w:rsidR="00863B6C">
              <w:t>apildināt nosacījumus vakcīnu uzglabāšanas drošībai, izstrādājot pasākumu plānus situācijai, kad  ir elektroapgādes vai ledusskapja, kurā uzglabā vakcīnas, bojājumi</w:t>
            </w:r>
            <w:r w:rsidR="00394113">
              <w:t>;</w:t>
            </w:r>
          </w:p>
          <w:p w:rsidR="00394113" w:rsidRDefault="00394113" w:rsidP="00391C14">
            <w:pPr>
              <w:pStyle w:val="naisf"/>
              <w:spacing w:before="0" w:beforeAutospacing="0" w:after="0" w:afterAutospacing="0"/>
              <w:jc w:val="both"/>
            </w:pPr>
            <w:r>
              <w:t xml:space="preserve">4) pārcelt vakcinācijas pret </w:t>
            </w:r>
            <w:proofErr w:type="spellStart"/>
            <w:r>
              <w:t>rotavīrusu</w:t>
            </w:r>
            <w:proofErr w:type="spellEnd"/>
            <w:r>
              <w:t xml:space="preserve"> infekciju uzsākšanas laiku.</w:t>
            </w:r>
          </w:p>
          <w:p w:rsidR="00C36235" w:rsidRPr="00B5705E" w:rsidRDefault="00C36235" w:rsidP="00C36235">
            <w:pPr>
              <w:pStyle w:val="naisf"/>
              <w:spacing w:before="0" w:beforeAutospacing="0" w:after="0" w:afterAutospacing="0"/>
              <w:jc w:val="both"/>
            </w:pPr>
            <w:r>
              <w:t xml:space="preserve">Noteikumu projekts atrisinās </w:t>
            </w:r>
            <w:r w:rsidR="00F21D1F">
              <w:t xml:space="preserve">šīs anotācijas </w:t>
            </w:r>
            <w:r>
              <w:t>I sadaļas 2.punktā minētās problēmas pilnībā.</w:t>
            </w:r>
          </w:p>
        </w:tc>
      </w:tr>
      <w:tr w:rsidR="00035B2F" w:rsidRPr="00B5705E" w:rsidTr="00443376">
        <w:trPr>
          <w:tblCellSpacing w:w="0" w:type="dxa"/>
        </w:trPr>
        <w:tc>
          <w:tcPr>
            <w:tcW w:w="568" w:type="dxa"/>
            <w:tcBorders>
              <w:top w:val="outset" w:sz="6" w:space="0" w:color="auto"/>
              <w:left w:val="outset" w:sz="6" w:space="0" w:color="auto"/>
              <w:bottom w:val="outset" w:sz="6" w:space="0" w:color="auto"/>
              <w:right w:val="outset" w:sz="6" w:space="0" w:color="auto"/>
            </w:tcBorders>
          </w:tcPr>
          <w:p w:rsidR="00035B2F" w:rsidRPr="00B5705E" w:rsidRDefault="00A87C17" w:rsidP="00B5705E">
            <w:pPr>
              <w:spacing w:after="0" w:line="240" w:lineRule="auto"/>
              <w:jc w:val="both"/>
              <w:rPr>
                <w:rFonts w:ascii="Times New Roman" w:eastAsia="Times New Roman" w:hAnsi="Times New Roman"/>
                <w:sz w:val="24"/>
                <w:szCs w:val="24"/>
                <w:lang w:eastAsia="lv-LV"/>
              </w:rPr>
            </w:pPr>
            <w:r w:rsidRPr="00B5705E">
              <w:rPr>
                <w:rFonts w:ascii="Times New Roman" w:eastAsia="Times New Roman" w:hAnsi="Times New Roman"/>
                <w:sz w:val="24"/>
                <w:szCs w:val="24"/>
                <w:lang w:eastAsia="lv-LV"/>
              </w:rPr>
              <w:t xml:space="preserve"> </w:t>
            </w:r>
            <w:r w:rsidR="003A10E6" w:rsidRPr="00B5705E">
              <w:rPr>
                <w:rFonts w:ascii="Times New Roman" w:eastAsia="Times New Roman" w:hAnsi="Times New Roman"/>
                <w:sz w:val="24"/>
                <w:szCs w:val="24"/>
                <w:lang w:eastAsia="lv-LV"/>
              </w:rPr>
              <w:t>5.</w:t>
            </w:r>
          </w:p>
        </w:tc>
        <w:tc>
          <w:tcPr>
            <w:tcW w:w="2126" w:type="dxa"/>
            <w:tcBorders>
              <w:top w:val="outset" w:sz="6" w:space="0" w:color="auto"/>
              <w:left w:val="outset" w:sz="6" w:space="0" w:color="auto"/>
              <w:bottom w:val="outset" w:sz="6" w:space="0" w:color="auto"/>
              <w:right w:val="outset" w:sz="6" w:space="0" w:color="auto"/>
            </w:tcBorders>
          </w:tcPr>
          <w:p w:rsidR="00035B2F" w:rsidRPr="00B5705E" w:rsidRDefault="00035B2F" w:rsidP="00B5705E">
            <w:pPr>
              <w:spacing w:after="0" w:line="240" w:lineRule="auto"/>
              <w:jc w:val="both"/>
              <w:rPr>
                <w:rFonts w:ascii="Times New Roman" w:eastAsia="Times New Roman" w:hAnsi="Times New Roman"/>
                <w:sz w:val="24"/>
                <w:szCs w:val="24"/>
                <w:lang w:eastAsia="lv-LV"/>
              </w:rPr>
            </w:pPr>
            <w:r w:rsidRPr="00B5705E">
              <w:rPr>
                <w:rFonts w:ascii="Times New Roman" w:eastAsia="Times New Roman" w:hAnsi="Times New Roman"/>
                <w:sz w:val="24"/>
                <w:szCs w:val="24"/>
                <w:lang w:eastAsia="lv-LV"/>
              </w:rPr>
              <w:t> </w:t>
            </w:r>
            <w:r w:rsidR="003A10E6" w:rsidRPr="00B5705E">
              <w:rPr>
                <w:rFonts w:ascii="Times New Roman" w:eastAsia="Times New Roman" w:hAnsi="Times New Roman"/>
                <w:sz w:val="24"/>
                <w:szCs w:val="24"/>
                <w:lang w:eastAsia="lv-LV"/>
              </w:rPr>
              <w:t>Projekta izstrādē iesaistītās institūcijas</w:t>
            </w:r>
          </w:p>
        </w:tc>
        <w:tc>
          <w:tcPr>
            <w:tcW w:w="6513" w:type="dxa"/>
            <w:tcBorders>
              <w:top w:val="outset" w:sz="6" w:space="0" w:color="auto"/>
              <w:left w:val="outset" w:sz="6" w:space="0" w:color="auto"/>
              <w:bottom w:val="outset" w:sz="6" w:space="0" w:color="auto"/>
              <w:right w:val="outset" w:sz="6" w:space="0" w:color="auto"/>
            </w:tcBorders>
          </w:tcPr>
          <w:p w:rsidR="00035B2F" w:rsidRPr="00B5705E" w:rsidRDefault="00035B2F" w:rsidP="00B5705E">
            <w:pPr>
              <w:pStyle w:val="BodyTextIndent"/>
              <w:autoSpaceDE w:val="0"/>
              <w:autoSpaceDN w:val="0"/>
              <w:adjustRightInd w:val="0"/>
              <w:spacing w:after="0" w:line="240" w:lineRule="auto"/>
              <w:ind w:left="0"/>
              <w:jc w:val="both"/>
              <w:rPr>
                <w:rFonts w:ascii="Times New Roman" w:eastAsia="Times New Roman" w:hAnsi="Times New Roman"/>
                <w:sz w:val="24"/>
                <w:szCs w:val="24"/>
                <w:lang w:eastAsia="lv-LV"/>
              </w:rPr>
            </w:pPr>
            <w:r w:rsidRPr="00B5705E">
              <w:rPr>
                <w:rFonts w:ascii="Times New Roman" w:eastAsia="Times New Roman" w:hAnsi="Times New Roman"/>
                <w:sz w:val="24"/>
                <w:szCs w:val="24"/>
                <w:lang w:eastAsia="lv-LV"/>
              </w:rPr>
              <w:t xml:space="preserve"> </w:t>
            </w:r>
            <w:r w:rsidR="003A10E6" w:rsidRPr="00B5705E">
              <w:rPr>
                <w:rFonts w:ascii="Times New Roman" w:eastAsia="Times New Roman" w:hAnsi="Times New Roman"/>
                <w:sz w:val="24"/>
                <w:szCs w:val="24"/>
                <w:lang w:eastAsia="lv-LV"/>
              </w:rPr>
              <w:t>Latvijas Infektoloģijas centrs</w:t>
            </w:r>
            <w:r w:rsidR="00386E45">
              <w:rPr>
                <w:rFonts w:ascii="Times New Roman" w:eastAsia="Times New Roman" w:hAnsi="Times New Roman"/>
                <w:sz w:val="24"/>
                <w:szCs w:val="24"/>
                <w:lang w:eastAsia="lv-LV"/>
              </w:rPr>
              <w:t>, Latvijas Ģimenes ārstu asociācija, Lauku Ģimenes ārstu</w:t>
            </w:r>
            <w:r w:rsidR="007F5197">
              <w:rPr>
                <w:rFonts w:ascii="Times New Roman" w:eastAsia="Times New Roman" w:hAnsi="Times New Roman"/>
                <w:sz w:val="24"/>
                <w:szCs w:val="24"/>
                <w:lang w:eastAsia="lv-LV"/>
              </w:rPr>
              <w:t xml:space="preserve"> </w:t>
            </w:r>
            <w:r w:rsidR="00386E45">
              <w:rPr>
                <w:rFonts w:ascii="Times New Roman" w:eastAsia="Times New Roman" w:hAnsi="Times New Roman"/>
                <w:sz w:val="24"/>
                <w:szCs w:val="24"/>
                <w:lang w:eastAsia="lv-LV"/>
              </w:rPr>
              <w:t>asociācija.</w:t>
            </w:r>
          </w:p>
          <w:p w:rsidR="00FF345F" w:rsidRPr="00B5705E" w:rsidRDefault="00FF345F" w:rsidP="00B5705E">
            <w:pPr>
              <w:pStyle w:val="BodyTextIndent"/>
              <w:autoSpaceDE w:val="0"/>
              <w:autoSpaceDN w:val="0"/>
              <w:adjustRightInd w:val="0"/>
              <w:spacing w:after="0" w:line="240" w:lineRule="auto"/>
              <w:ind w:left="0"/>
              <w:jc w:val="both"/>
              <w:rPr>
                <w:rFonts w:ascii="Times New Roman" w:hAnsi="Times New Roman"/>
                <w:sz w:val="24"/>
                <w:szCs w:val="24"/>
                <w:lang w:val="sv-SE"/>
              </w:rPr>
            </w:pPr>
          </w:p>
        </w:tc>
      </w:tr>
      <w:tr w:rsidR="003A10E6" w:rsidRPr="00B5705E" w:rsidTr="00443376">
        <w:trPr>
          <w:tblCellSpacing w:w="0" w:type="dxa"/>
        </w:trPr>
        <w:tc>
          <w:tcPr>
            <w:tcW w:w="568" w:type="dxa"/>
            <w:tcBorders>
              <w:top w:val="outset" w:sz="6" w:space="0" w:color="auto"/>
              <w:left w:val="outset" w:sz="6" w:space="0" w:color="auto"/>
              <w:bottom w:val="outset" w:sz="6" w:space="0" w:color="auto"/>
              <w:right w:val="outset" w:sz="6" w:space="0" w:color="auto"/>
            </w:tcBorders>
          </w:tcPr>
          <w:p w:rsidR="003A10E6" w:rsidRPr="00B5705E" w:rsidRDefault="003A10E6" w:rsidP="00B5705E">
            <w:pPr>
              <w:spacing w:after="0" w:line="240" w:lineRule="auto"/>
              <w:jc w:val="both"/>
              <w:rPr>
                <w:rFonts w:ascii="Times New Roman" w:eastAsia="Times New Roman" w:hAnsi="Times New Roman"/>
                <w:sz w:val="24"/>
                <w:szCs w:val="24"/>
                <w:lang w:eastAsia="lv-LV"/>
              </w:rPr>
            </w:pPr>
            <w:r w:rsidRPr="00B5705E">
              <w:rPr>
                <w:rFonts w:ascii="Times New Roman" w:eastAsia="Times New Roman" w:hAnsi="Times New Roman"/>
                <w:sz w:val="24"/>
                <w:szCs w:val="24"/>
                <w:lang w:eastAsia="lv-LV"/>
              </w:rPr>
              <w:t>6.</w:t>
            </w:r>
          </w:p>
        </w:tc>
        <w:tc>
          <w:tcPr>
            <w:tcW w:w="2126" w:type="dxa"/>
            <w:tcBorders>
              <w:top w:val="outset" w:sz="6" w:space="0" w:color="auto"/>
              <w:left w:val="outset" w:sz="6" w:space="0" w:color="auto"/>
              <w:bottom w:val="outset" w:sz="6" w:space="0" w:color="auto"/>
              <w:right w:val="outset" w:sz="6" w:space="0" w:color="auto"/>
            </w:tcBorders>
          </w:tcPr>
          <w:p w:rsidR="003A10E6" w:rsidRPr="00B5705E" w:rsidRDefault="003A10E6" w:rsidP="00B5705E">
            <w:pPr>
              <w:spacing w:after="0" w:line="240" w:lineRule="auto"/>
              <w:jc w:val="both"/>
              <w:rPr>
                <w:rFonts w:ascii="Times New Roman" w:eastAsia="Times New Roman" w:hAnsi="Times New Roman"/>
                <w:sz w:val="24"/>
                <w:szCs w:val="24"/>
                <w:lang w:eastAsia="lv-LV"/>
              </w:rPr>
            </w:pPr>
            <w:r w:rsidRPr="00B5705E">
              <w:rPr>
                <w:rFonts w:ascii="Times New Roman" w:eastAsia="Times New Roman" w:hAnsi="Times New Roman"/>
                <w:sz w:val="24"/>
                <w:szCs w:val="24"/>
                <w:lang w:eastAsia="lv-LV"/>
              </w:rPr>
              <w:t>Iemesli, kādēļ netika nodrošināta sabiedrības līdzdalība</w:t>
            </w:r>
          </w:p>
        </w:tc>
        <w:tc>
          <w:tcPr>
            <w:tcW w:w="6513" w:type="dxa"/>
            <w:tcBorders>
              <w:top w:val="outset" w:sz="6" w:space="0" w:color="auto"/>
              <w:left w:val="outset" w:sz="6" w:space="0" w:color="auto"/>
              <w:bottom w:val="outset" w:sz="6" w:space="0" w:color="auto"/>
              <w:right w:val="outset" w:sz="6" w:space="0" w:color="auto"/>
            </w:tcBorders>
          </w:tcPr>
          <w:p w:rsidR="0042447A" w:rsidRPr="00B5705E" w:rsidRDefault="0042447A" w:rsidP="00B5705E">
            <w:pPr>
              <w:spacing w:after="0" w:line="240" w:lineRule="auto"/>
              <w:jc w:val="both"/>
              <w:rPr>
                <w:rFonts w:ascii="Times New Roman" w:hAnsi="Times New Roman"/>
                <w:color w:val="000000"/>
                <w:sz w:val="24"/>
                <w:szCs w:val="24"/>
              </w:rPr>
            </w:pPr>
            <w:r w:rsidRPr="00B5705E">
              <w:rPr>
                <w:rFonts w:ascii="Times New Roman" w:hAnsi="Times New Roman"/>
                <w:sz w:val="24"/>
                <w:szCs w:val="24"/>
              </w:rPr>
              <w:t xml:space="preserve">Ņemot vērā, ka </w:t>
            </w:r>
            <w:r w:rsidR="00B4340E">
              <w:rPr>
                <w:rFonts w:ascii="Times New Roman" w:hAnsi="Times New Roman"/>
                <w:sz w:val="24"/>
                <w:szCs w:val="24"/>
              </w:rPr>
              <w:t xml:space="preserve">noteikumu </w:t>
            </w:r>
            <w:r w:rsidRPr="00B5705E">
              <w:rPr>
                <w:rFonts w:ascii="Times New Roman" w:hAnsi="Times New Roman"/>
                <w:sz w:val="24"/>
                <w:szCs w:val="24"/>
              </w:rPr>
              <w:t xml:space="preserve">projekts skar </w:t>
            </w:r>
            <w:r w:rsidR="00394113">
              <w:rPr>
                <w:rFonts w:ascii="Times New Roman" w:hAnsi="Times New Roman"/>
                <w:sz w:val="24"/>
                <w:szCs w:val="24"/>
              </w:rPr>
              <w:t xml:space="preserve">organizatoriskus jautājumus, kas saistīti ar ģimenes ārstu darbību, </w:t>
            </w:r>
            <w:r w:rsidRPr="00B5705E">
              <w:rPr>
                <w:rFonts w:ascii="Times New Roman" w:hAnsi="Times New Roman"/>
                <w:sz w:val="24"/>
                <w:szCs w:val="24"/>
              </w:rPr>
              <w:t xml:space="preserve">sabiedrības pārstāvjus </w:t>
            </w:r>
            <w:r w:rsidR="00B4340E">
              <w:rPr>
                <w:rFonts w:ascii="Times New Roman" w:hAnsi="Times New Roman"/>
                <w:sz w:val="24"/>
                <w:szCs w:val="24"/>
              </w:rPr>
              <w:t xml:space="preserve">noteikumu </w:t>
            </w:r>
            <w:r w:rsidRPr="00B5705E">
              <w:rPr>
                <w:rFonts w:ascii="Times New Roman" w:hAnsi="Times New Roman"/>
                <w:sz w:val="24"/>
                <w:szCs w:val="24"/>
              </w:rPr>
              <w:t>projekta izstrādē iesaistīt nebija lietderīgi</w:t>
            </w:r>
            <w:r w:rsidR="00386E45">
              <w:rPr>
                <w:rFonts w:ascii="Times New Roman" w:hAnsi="Times New Roman"/>
                <w:sz w:val="24"/>
                <w:szCs w:val="24"/>
              </w:rPr>
              <w:t>.</w:t>
            </w:r>
          </w:p>
          <w:p w:rsidR="003A10E6" w:rsidRPr="00B5705E" w:rsidRDefault="003A10E6" w:rsidP="00B5705E">
            <w:pPr>
              <w:pStyle w:val="BodyTextIndent"/>
              <w:autoSpaceDE w:val="0"/>
              <w:autoSpaceDN w:val="0"/>
              <w:adjustRightInd w:val="0"/>
              <w:spacing w:after="0" w:line="240" w:lineRule="auto"/>
              <w:ind w:left="0"/>
              <w:jc w:val="both"/>
              <w:rPr>
                <w:rFonts w:ascii="Times New Roman" w:eastAsia="Times New Roman" w:hAnsi="Times New Roman"/>
                <w:sz w:val="24"/>
                <w:szCs w:val="24"/>
                <w:lang w:eastAsia="lv-LV"/>
              </w:rPr>
            </w:pPr>
          </w:p>
        </w:tc>
      </w:tr>
      <w:tr w:rsidR="003A10E6" w:rsidRPr="00B5705E" w:rsidTr="00443376">
        <w:trPr>
          <w:tblCellSpacing w:w="0" w:type="dxa"/>
        </w:trPr>
        <w:tc>
          <w:tcPr>
            <w:tcW w:w="568" w:type="dxa"/>
            <w:tcBorders>
              <w:top w:val="outset" w:sz="6" w:space="0" w:color="auto"/>
              <w:left w:val="outset" w:sz="6" w:space="0" w:color="auto"/>
              <w:bottom w:val="outset" w:sz="6" w:space="0" w:color="auto"/>
              <w:right w:val="outset" w:sz="6" w:space="0" w:color="auto"/>
            </w:tcBorders>
          </w:tcPr>
          <w:p w:rsidR="003A10E6" w:rsidRPr="00B5705E" w:rsidRDefault="003A10E6" w:rsidP="00B5705E">
            <w:pPr>
              <w:spacing w:after="0" w:line="240" w:lineRule="auto"/>
              <w:jc w:val="both"/>
              <w:rPr>
                <w:rFonts w:ascii="Times New Roman" w:eastAsia="Times New Roman" w:hAnsi="Times New Roman"/>
                <w:sz w:val="24"/>
                <w:szCs w:val="24"/>
                <w:lang w:eastAsia="lv-LV"/>
              </w:rPr>
            </w:pPr>
            <w:r w:rsidRPr="00B5705E">
              <w:rPr>
                <w:rFonts w:ascii="Times New Roman" w:eastAsia="Times New Roman" w:hAnsi="Times New Roman"/>
                <w:sz w:val="24"/>
                <w:szCs w:val="24"/>
                <w:lang w:eastAsia="lv-LV"/>
              </w:rPr>
              <w:t>7.</w:t>
            </w:r>
          </w:p>
        </w:tc>
        <w:tc>
          <w:tcPr>
            <w:tcW w:w="2126" w:type="dxa"/>
            <w:tcBorders>
              <w:top w:val="outset" w:sz="6" w:space="0" w:color="auto"/>
              <w:left w:val="outset" w:sz="6" w:space="0" w:color="auto"/>
              <w:bottom w:val="outset" w:sz="6" w:space="0" w:color="auto"/>
              <w:right w:val="outset" w:sz="6" w:space="0" w:color="auto"/>
            </w:tcBorders>
          </w:tcPr>
          <w:p w:rsidR="003A10E6" w:rsidRPr="00B5705E" w:rsidRDefault="003A10E6" w:rsidP="00B5705E">
            <w:pPr>
              <w:spacing w:after="0" w:line="240" w:lineRule="auto"/>
              <w:jc w:val="both"/>
              <w:rPr>
                <w:rFonts w:ascii="Times New Roman" w:eastAsia="Times New Roman" w:hAnsi="Times New Roman"/>
                <w:sz w:val="24"/>
                <w:szCs w:val="24"/>
                <w:lang w:eastAsia="lv-LV"/>
              </w:rPr>
            </w:pPr>
            <w:r w:rsidRPr="00B5705E">
              <w:rPr>
                <w:rFonts w:ascii="Times New Roman" w:eastAsia="Times New Roman" w:hAnsi="Times New Roman"/>
                <w:sz w:val="24"/>
                <w:szCs w:val="24"/>
                <w:lang w:eastAsia="lv-LV"/>
              </w:rPr>
              <w:t>Cita informācija</w:t>
            </w:r>
          </w:p>
        </w:tc>
        <w:tc>
          <w:tcPr>
            <w:tcW w:w="6513" w:type="dxa"/>
            <w:tcBorders>
              <w:top w:val="outset" w:sz="6" w:space="0" w:color="auto"/>
              <w:left w:val="outset" w:sz="6" w:space="0" w:color="auto"/>
              <w:bottom w:val="outset" w:sz="6" w:space="0" w:color="auto"/>
              <w:right w:val="outset" w:sz="6" w:space="0" w:color="auto"/>
            </w:tcBorders>
          </w:tcPr>
          <w:p w:rsidR="003A10E6" w:rsidRPr="00B5705E" w:rsidRDefault="002E73BA" w:rsidP="00B5705E">
            <w:pPr>
              <w:pStyle w:val="BodyTextIndent"/>
              <w:autoSpaceDE w:val="0"/>
              <w:autoSpaceDN w:val="0"/>
              <w:adjustRightInd w:val="0"/>
              <w:spacing w:after="0" w:line="240" w:lineRule="auto"/>
              <w:ind w:left="0"/>
              <w:jc w:val="both"/>
              <w:rPr>
                <w:rFonts w:ascii="Times New Roman" w:eastAsia="Times New Roman" w:hAnsi="Times New Roman"/>
                <w:sz w:val="24"/>
                <w:szCs w:val="24"/>
                <w:lang w:eastAsia="lv-LV"/>
              </w:rPr>
            </w:pPr>
            <w:r w:rsidRPr="00B5705E">
              <w:rPr>
                <w:rFonts w:ascii="Times New Roman" w:eastAsia="Times New Roman" w:hAnsi="Times New Roman"/>
                <w:sz w:val="24"/>
                <w:szCs w:val="24"/>
                <w:lang w:eastAsia="lv-LV"/>
              </w:rPr>
              <w:t>Nav</w:t>
            </w:r>
          </w:p>
        </w:tc>
      </w:tr>
    </w:tbl>
    <w:p w:rsidR="00CE2AF1" w:rsidRPr="00B5705E" w:rsidRDefault="00CE2AF1" w:rsidP="00B5705E">
      <w:pPr>
        <w:spacing w:after="0" w:line="240" w:lineRule="auto"/>
        <w:jc w:val="both"/>
        <w:rPr>
          <w:rFonts w:ascii="Times New Roman" w:hAnsi="Times New Roman"/>
          <w:sz w:val="24"/>
          <w:szCs w:val="24"/>
        </w:rPr>
      </w:pPr>
    </w:p>
    <w:tbl>
      <w:tblPr>
        <w:tblStyle w:val="TableGrid"/>
        <w:tblW w:w="8934" w:type="dxa"/>
        <w:tblInd w:w="108" w:type="dxa"/>
        <w:tblLook w:val="04A0"/>
      </w:tblPr>
      <w:tblGrid>
        <w:gridCol w:w="396"/>
        <w:gridCol w:w="3089"/>
        <w:gridCol w:w="5449"/>
      </w:tblGrid>
      <w:tr w:rsidR="005C7F59" w:rsidRPr="00B5705E" w:rsidTr="00B65D17">
        <w:tc>
          <w:tcPr>
            <w:tcW w:w="8934" w:type="dxa"/>
            <w:gridSpan w:val="3"/>
          </w:tcPr>
          <w:p w:rsidR="005C7F59" w:rsidRPr="00B5705E" w:rsidRDefault="005C7F59" w:rsidP="00B5705E">
            <w:pPr>
              <w:spacing w:after="0" w:line="240" w:lineRule="auto"/>
              <w:jc w:val="both"/>
              <w:rPr>
                <w:rFonts w:ascii="Times New Roman" w:hAnsi="Times New Roman"/>
                <w:b/>
                <w:sz w:val="24"/>
                <w:szCs w:val="24"/>
              </w:rPr>
            </w:pPr>
            <w:r w:rsidRPr="00B5705E">
              <w:rPr>
                <w:rFonts w:ascii="Times New Roman" w:hAnsi="Times New Roman"/>
                <w:b/>
                <w:sz w:val="24"/>
                <w:szCs w:val="24"/>
              </w:rPr>
              <w:t>II. Tiesību akta projekta ietekme uz sabiedrību</w:t>
            </w:r>
          </w:p>
        </w:tc>
      </w:tr>
      <w:tr w:rsidR="006E12B6" w:rsidRPr="00B5705E" w:rsidTr="00B65D17">
        <w:tc>
          <w:tcPr>
            <w:tcW w:w="288" w:type="dxa"/>
          </w:tcPr>
          <w:p w:rsidR="005C7F59" w:rsidRPr="00B5705E" w:rsidRDefault="005C7F59" w:rsidP="00B5705E">
            <w:pPr>
              <w:spacing w:after="0" w:line="240" w:lineRule="auto"/>
              <w:jc w:val="both"/>
              <w:rPr>
                <w:rFonts w:ascii="Times New Roman" w:hAnsi="Times New Roman"/>
                <w:sz w:val="24"/>
                <w:szCs w:val="24"/>
              </w:rPr>
            </w:pPr>
            <w:r w:rsidRPr="00B5705E">
              <w:rPr>
                <w:rFonts w:ascii="Times New Roman" w:hAnsi="Times New Roman"/>
                <w:sz w:val="24"/>
                <w:szCs w:val="24"/>
              </w:rPr>
              <w:t>1.</w:t>
            </w:r>
          </w:p>
        </w:tc>
        <w:tc>
          <w:tcPr>
            <w:tcW w:w="3118" w:type="dxa"/>
          </w:tcPr>
          <w:p w:rsidR="005C7F59" w:rsidRPr="00B5705E" w:rsidRDefault="005C7F59" w:rsidP="00B5705E">
            <w:pPr>
              <w:spacing w:after="0" w:line="240" w:lineRule="auto"/>
              <w:jc w:val="both"/>
              <w:rPr>
                <w:rFonts w:ascii="Times New Roman" w:hAnsi="Times New Roman"/>
                <w:sz w:val="24"/>
                <w:szCs w:val="24"/>
              </w:rPr>
            </w:pPr>
            <w:r w:rsidRPr="00B5705E">
              <w:rPr>
                <w:rFonts w:ascii="Times New Roman" w:hAnsi="Times New Roman"/>
                <w:sz w:val="24"/>
                <w:szCs w:val="24"/>
              </w:rPr>
              <w:t xml:space="preserve">Sabiedrības </w:t>
            </w:r>
            <w:proofErr w:type="spellStart"/>
            <w:r w:rsidRPr="00B5705E">
              <w:rPr>
                <w:rFonts w:ascii="Times New Roman" w:hAnsi="Times New Roman"/>
                <w:sz w:val="24"/>
                <w:szCs w:val="24"/>
              </w:rPr>
              <w:t>mērķgrupa</w:t>
            </w:r>
            <w:proofErr w:type="spellEnd"/>
          </w:p>
        </w:tc>
        <w:tc>
          <w:tcPr>
            <w:tcW w:w="5528" w:type="dxa"/>
          </w:tcPr>
          <w:p w:rsidR="005C7F59" w:rsidRPr="00386E45" w:rsidRDefault="0006216A" w:rsidP="008C68D4">
            <w:pPr>
              <w:spacing w:after="0" w:line="240" w:lineRule="auto"/>
              <w:jc w:val="both"/>
              <w:rPr>
                <w:rFonts w:ascii="Times New Roman" w:hAnsi="Times New Roman"/>
                <w:sz w:val="24"/>
                <w:szCs w:val="24"/>
              </w:rPr>
            </w:pPr>
            <w:r w:rsidRPr="00386E45">
              <w:rPr>
                <w:rFonts w:ascii="Times New Roman" w:hAnsi="Times New Roman"/>
                <w:sz w:val="24"/>
                <w:szCs w:val="24"/>
              </w:rPr>
              <w:t>Ģimenes ārsti</w:t>
            </w:r>
            <w:r w:rsidR="00B06F56">
              <w:rPr>
                <w:rFonts w:ascii="Times New Roman" w:hAnsi="Times New Roman"/>
                <w:sz w:val="24"/>
                <w:szCs w:val="24"/>
              </w:rPr>
              <w:t xml:space="preserve"> </w:t>
            </w:r>
            <w:r w:rsidR="008C68D4">
              <w:rPr>
                <w:rFonts w:ascii="Times New Roman" w:hAnsi="Times New Roman"/>
                <w:sz w:val="24"/>
                <w:szCs w:val="24"/>
              </w:rPr>
              <w:t>~ 1600.</w:t>
            </w:r>
          </w:p>
        </w:tc>
      </w:tr>
      <w:tr w:rsidR="006E12B6" w:rsidRPr="00B5705E" w:rsidTr="00B65D17">
        <w:tc>
          <w:tcPr>
            <w:tcW w:w="288" w:type="dxa"/>
          </w:tcPr>
          <w:p w:rsidR="005C7F59" w:rsidRPr="00B5705E" w:rsidRDefault="002C51A5" w:rsidP="00B5705E">
            <w:pPr>
              <w:spacing w:after="0" w:line="240" w:lineRule="auto"/>
              <w:jc w:val="both"/>
              <w:rPr>
                <w:rFonts w:ascii="Times New Roman" w:hAnsi="Times New Roman"/>
                <w:sz w:val="24"/>
                <w:szCs w:val="24"/>
              </w:rPr>
            </w:pPr>
            <w:r w:rsidRPr="00B5705E">
              <w:rPr>
                <w:rFonts w:ascii="Times New Roman" w:hAnsi="Times New Roman"/>
                <w:sz w:val="24"/>
                <w:szCs w:val="24"/>
              </w:rPr>
              <w:t>2.</w:t>
            </w:r>
          </w:p>
        </w:tc>
        <w:tc>
          <w:tcPr>
            <w:tcW w:w="3118" w:type="dxa"/>
          </w:tcPr>
          <w:p w:rsidR="005C7F59" w:rsidRPr="00B5705E" w:rsidRDefault="002C51A5" w:rsidP="00B5705E">
            <w:pPr>
              <w:spacing w:after="0" w:line="240" w:lineRule="auto"/>
              <w:jc w:val="both"/>
              <w:rPr>
                <w:rFonts w:ascii="Times New Roman" w:hAnsi="Times New Roman"/>
                <w:sz w:val="24"/>
                <w:szCs w:val="24"/>
              </w:rPr>
            </w:pPr>
            <w:r w:rsidRPr="00B5705E">
              <w:rPr>
                <w:rFonts w:ascii="Times New Roman" w:hAnsi="Times New Roman"/>
                <w:sz w:val="24"/>
                <w:szCs w:val="24"/>
              </w:rPr>
              <w:t xml:space="preserve">Citas sabiedrības grupas (bez </w:t>
            </w:r>
            <w:proofErr w:type="spellStart"/>
            <w:r w:rsidRPr="00B5705E">
              <w:rPr>
                <w:rFonts w:ascii="Times New Roman" w:hAnsi="Times New Roman"/>
                <w:sz w:val="24"/>
                <w:szCs w:val="24"/>
              </w:rPr>
              <w:t>mērķgrupas</w:t>
            </w:r>
            <w:proofErr w:type="spellEnd"/>
            <w:r w:rsidRPr="00B5705E">
              <w:rPr>
                <w:rFonts w:ascii="Times New Roman" w:hAnsi="Times New Roman"/>
                <w:sz w:val="24"/>
                <w:szCs w:val="24"/>
              </w:rPr>
              <w:t>), kuras tiesiskais regulējums arī ietekmē vai varētu ietekmēt</w:t>
            </w:r>
          </w:p>
        </w:tc>
        <w:tc>
          <w:tcPr>
            <w:tcW w:w="5528" w:type="dxa"/>
          </w:tcPr>
          <w:p w:rsidR="00B65D17" w:rsidRPr="00386E45" w:rsidRDefault="00A131CA" w:rsidP="00386E45">
            <w:pPr>
              <w:spacing w:after="0" w:line="240" w:lineRule="auto"/>
              <w:jc w:val="both"/>
              <w:rPr>
                <w:rFonts w:ascii="Times New Roman" w:hAnsi="Times New Roman"/>
                <w:sz w:val="24"/>
                <w:szCs w:val="24"/>
              </w:rPr>
            </w:pPr>
            <w:r w:rsidRPr="00B5705E">
              <w:rPr>
                <w:rFonts w:ascii="Times New Roman" w:hAnsi="Times New Roman"/>
                <w:sz w:val="24"/>
                <w:szCs w:val="24"/>
              </w:rPr>
              <w:t>Nav attiecināms.</w:t>
            </w:r>
          </w:p>
        </w:tc>
      </w:tr>
      <w:tr w:rsidR="006E12B6" w:rsidRPr="00B5705E" w:rsidTr="00B65D17">
        <w:tc>
          <w:tcPr>
            <w:tcW w:w="288" w:type="dxa"/>
          </w:tcPr>
          <w:p w:rsidR="005C7F59" w:rsidRPr="00B5705E" w:rsidRDefault="002C51A5" w:rsidP="00B5705E">
            <w:pPr>
              <w:spacing w:after="0" w:line="240" w:lineRule="auto"/>
              <w:jc w:val="both"/>
              <w:rPr>
                <w:rFonts w:ascii="Times New Roman" w:hAnsi="Times New Roman"/>
                <w:sz w:val="24"/>
                <w:szCs w:val="24"/>
              </w:rPr>
            </w:pPr>
            <w:r w:rsidRPr="00B5705E">
              <w:rPr>
                <w:rFonts w:ascii="Times New Roman" w:hAnsi="Times New Roman"/>
                <w:sz w:val="24"/>
                <w:szCs w:val="24"/>
              </w:rPr>
              <w:t>3.</w:t>
            </w:r>
          </w:p>
        </w:tc>
        <w:tc>
          <w:tcPr>
            <w:tcW w:w="3118" w:type="dxa"/>
          </w:tcPr>
          <w:p w:rsidR="005C7F59" w:rsidRPr="00B5705E" w:rsidRDefault="002C51A5" w:rsidP="00B5705E">
            <w:pPr>
              <w:spacing w:after="0" w:line="240" w:lineRule="auto"/>
              <w:jc w:val="both"/>
              <w:rPr>
                <w:rFonts w:ascii="Times New Roman" w:hAnsi="Times New Roman"/>
                <w:sz w:val="24"/>
                <w:szCs w:val="24"/>
              </w:rPr>
            </w:pPr>
            <w:r w:rsidRPr="00B5705E">
              <w:rPr>
                <w:rFonts w:ascii="Times New Roman" w:hAnsi="Times New Roman"/>
                <w:sz w:val="24"/>
                <w:szCs w:val="24"/>
              </w:rPr>
              <w:t>Tiesiskā regulējuma finansiālā ietekme</w:t>
            </w:r>
          </w:p>
          <w:p w:rsidR="00BD6B9E" w:rsidRPr="00B5705E" w:rsidRDefault="00BD6B9E" w:rsidP="00B5705E">
            <w:pPr>
              <w:spacing w:after="0" w:line="240" w:lineRule="auto"/>
              <w:jc w:val="both"/>
              <w:rPr>
                <w:rFonts w:ascii="Times New Roman" w:hAnsi="Times New Roman"/>
                <w:color w:val="FF0000"/>
                <w:sz w:val="24"/>
                <w:szCs w:val="24"/>
              </w:rPr>
            </w:pPr>
          </w:p>
        </w:tc>
        <w:tc>
          <w:tcPr>
            <w:tcW w:w="5528" w:type="dxa"/>
          </w:tcPr>
          <w:p w:rsidR="00B65D17" w:rsidRPr="00B5705E" w:rsidRDefault="007F5197" w:rsidP="00B5705E">
            <w:pPr>
              <w:spacing w:after="0" w:line="240" w:lineRule="auto"/>
              <w:jc w:val="both"/>
              <w:rPr>
                <w:rFonts w:ascii="Times New Roman" w:hAnsi="Times New Roman"/>
                <w:sz w:val="24"/>
                <w:szCs w:val="24"/>
              </w:rPr>
            </w:pPr>
            <w:r w:rsidRPr="00B5705E">
              <w:rPr>
                <w:rFonts w:ascii="Times New Roman" w:hAnsi="Times New Roman"/>
                <w:sz w:val="24"/>
                <w:szCs w:val="24"/>
              </w:rPr>
              <w:t>Nav attiecināms.</w:t>
            </w:r>
          </w:p>
        </w:tc>
      </w:tr>
      <w:tr w:rsidR="006E12B6" w:rsidRPr="00B5705E" w:rsidTr="00B65D17">
        <w:tc>
          <w:tcPr>
            <w:tcW w:w="288" w:type="dxa"/>
          </w:tcPr>
          <w:p w:rsidR="005C7F59" w:rsidRPr="00B5705E" w:rsidRDefault="002C51A5" w:rsidP="00B5705E">
            <w:pPr>
              <w:spacing w:after="0" w:line="240" w:lineRule="auto"/>
              <w:jc w:val="both"/>
              <w:rPr>
                <w:rFonts w:ascii="Times New Roman" w:hAnsi="Times New Roman"/>
                <w:sz w:val="24"/>
                <w:szCs w:val="24"/>
              </w:rPr>
            </w:pPr>
            <w:r w:rsidRPr="00B5705E">
              <w:rPr>
                <w:rFonts w:ascii="Times New Roman" w:hAnsi="Times New Roman"/>
                <w:sz w:val="24"/>
                <w:szCs w:val="24"/>
              </w:rPr>
              <w:t>4.</w:t>
            </w:r>
          </w:p>
        </w:tc>
        <w:tc>
          <w:tcPr>
            <w:tcW w:w="3118" w:type="dxa"/>
          </w:tcPr>
          <w:p w:rsidR="005C7F59" w:rsidRPr="00B5705E" w:rsidRDefault="002C51A5" w:rsidP="00B5705E">
            <w:pPr>
              <w:spacing w:after="0" w:line="240" w:lineRule="auto"/>
              <w:jc w:val="both"/>
              <w:rPr>
                <w:rFonts w:ascii="Times New Roman" w:hAnsi="Times New Roman"/>
                <w:sz w:val="24"/>
                <w:szCs w:val="24"/>
              </w:rPr>
            </w:pPr>
            <w:r w:rsidRPr="00B5705E">
              <w:rPr>
                <w:rFonts w:ascii="Times New Roman" w:hAnsi="Times New Roman"/>
                <w:sz w:val="24"/>
                <w:szCs w:val="24"/>
              </w:rPr>
              <w:t>Tiesiskā regulējuma nefinansiālā ietekme</w:t>
            </w:r>
          </w:p>
        </w:tc>
        <w:tc>
          <w:tcPr>
            <w:tcW w:w="5528" w:type="dxa"/>
          </w:tcPr>
          <w:p w:rsidR="005C7F59" w:rsidRPr="00B5705E" w:rsidRDefault="007F5197" w:rsidP="00B5705E">
            <w:pPr>
              <w:spacing w:after="0" w:line="240" w:lineRule="auto"/>
              <w:jc w:val="both"/>
              <w:rPr>
                <w:rFonts w:ascii="Times New Roman" w:hAnsi="Times New Roman"/>
                <w:sz w:val="24"/>
                <w:szCs w:val="24"/>
              </w:rPr>
            </w:pPr>
            <w:r w:rsidRPr="00B5705E">
              <w:rPr>
                <w:rFonts w:ascii="Times New Roman" w:hAnsi="Times New Roman"/>
                <w:sz w:val="24"/>
                <w:szCs w:val="24"/>
              </w:rPr>
              <w:t>Nav attiecināms.</w:t>
            </w:r>
          </w:p>
        </w:tc>
      </w:tr>
      <w:tr w:rsidR="006E12B6" w:rsidRPr="00B5705E" w:rsidTr="00B65D17">
        <w:tc>
          <w:tcPr>
            <w:tcW w:w="288" w:type="dxa"/>
          </w:tcPr>
          <w:p w:rsidR="005C7F59" w:rsidRPr="00B5705E" w:rsidRDefault="002C51A5" w:rsidP="00B5705E">
            <w:pPr>
              <w:spacing w:after="0" w:line="240" w:lineRule="auto"/>
              <w:jc w:val="both"/>
              <w:rPr>
                <w:rFonts w:ascii="Times New Roman" w:hAnsi="Times New Roman"/>
                <w:sz w:val="24"/>
                <w:szCs w:val="24"/>
              </w:rPr>
            </w:pPr>
            <w:r w:rsidRPr="00B5705E">
              <w:rPr>
                <w:rFonts w:ascii="Times New Roman" w:hAnsi="Times New Roman"/>
                <w:sz w:val="24"/>
                <w:szCs w:val="24"/>
              </w:rPr>
              <w:t>5.</w:t>
            </w:r>
          </w:p>
        </w:tc>
        <w:tc>
          <w:tcPr>
            <w:tcW w:w="3118" w:type="dxa"/>
          </w:tcPr>
          <w:p w:rsidR="005C7F59" w:rsidRPr="00B5705E" w:rsidRDefault="002C51A5" w:rsidP="00B5705E">
            <w:pPr>
              <w:spacing w:after="0" w:line="240" w:lineRule="auto"/>
              <w:jc w:val="both"/>
              <w:rPr>
                <w:rFonts w:ascii="Times New Roman" w:hAnsi="Times New Roman"/>
                <w:sz w:val="24"/>
                <w:szCs w:val="24"/>
              </w:rPr>
            </w:pPr>
            <w:r w:rsidRPr="00B5705E">
              <w:rPr>
                <w:rFonts w:ascii="Times New Roman" w:hAnsi="Times New Roman"/>
                <w:sz w:val="24"/>
                <w:szCs w:val="24"/>
              </w:rPr>
              <w:t>Administratīvās procedūras raksturojums</w:t>
            </w:r>
            <w:r w:rsidR="00285C01" w:rsidRPr="00B5705E">
              <w:rPr>
                <w:rFonts w:ascii="Times New Roman" w:hAnsi="Times New Roman"/>
                <w:sz w:val="24"/>
                <w:szCs w:val="24"/>
              </w:rPr>
              <w:t xml:space="preserve"> </w:t>
            </w:r>
          </w:p>
        </w:tc>
        <w:tc>
          <w:tcPr>
            <w:tcW w:w="5528" w:type="dxa"/>
          </w:tcPr>
          <w:p w:rsidR="00FB2E97" w:rsidRPr="00B5705E" w:rsidRDefault="00B06F56" w:rsidP="00B06F56">
            <w:pPr>
              <w:spacing w:after="0" w:line="240" w:lineRule="auto"/>
              <w:jc w:val="both"/>
              <w:rPr>
                <w:rFonts w:ascii="Times New Roman" w:hAnsi="Times New Roman"/>
                <w:sz w:val="24"/>
                <w:szCs w:val="24"/>
              </w:rPr>
            </w:pPr>
            <w:r>
              <w:rPr>
                <w:rFonts w:ascii="Times New Roman" w:hAnsi="Times New Roman"/>
                <w:sz w:val="24"/>
                <w:szCs w:val="24"/>
              </w:rPr>
              <w:t>Tiek samazināts administratīvais slogs ģimenes ārstiem, samazinot medicīniskās dokumentācijas skaitu.</w:t>
            </w:r>
          </w:p>
        </w:tc>
      </w:tr>
      <w:tr w:rsidR="006E12B6" w:rsidRPr="00B5705E" w:rsidTr="00B65D17">
        <w:tc>
          <w:tcPr>
            <w:tcW w:w="288" w:type="dxa"/>
          </w:tcPr>
          <w:p w:rsidR="002C51A5" w:rsidRPr="00B5705E" w:rsidRDefault="002C51A5" w:rsidP="00B5705E">
            <w:pPr>
              <w:spacing w:after="0" w:line="240" w:lineRule="auto"/>
              <w:jc w:val="both"/>
              <w:rPr>
                <w:rFonts w:ascii="Times New Roman" w:hAnsi="Times New Roman"/>
                <w:sz w:val="24"/>
                <w:szCs w:val="24"/>
              </w:rPr>
            </w:pPr>
            <w:r w:rsidRPr="00B5705E">
              <w:rPr>
                <w:rFonts w:ascii="Times New Roman" w:hAnsi="Times New Roman"/>
                <w:sz w:val="24"/>
                <w:szCs w:val="24"/>
              </w:rPr>
              <w:t>6.</w:t>
            </w:r>
          </w:p>
        </w:tc>
        <w:tc>
          <w:tcPr>
            <w:tcW w:w="3118" w:type="dxa"/>
          </w:tcPr>
          <w:p w:rsidR="002C51A5" w:rsidRPr="00B5705E" w:rsidRDefault="002C51A5" w:rsidP="00B5705E">
            <w:pPr>
              <w:spacing w:after="0" w:line="240" w:lineRule="auto"/>
              <w:jc w:val="both"/>
              <w:rPr>
                <w:rFonts w:ascii="Times New Roman" w:hAnsi="Times New Roman"/>
                <w:sz w:val="24"/>
                <w:szCs w:val="24"/>
              </w:rPr>
            </w:pPr>
            <w:r w:rsidRPr="00B5705E">
              <w:rPr>
                <w:rFonts w:ascii="Times New Roman" w:hAnsi="Times New Roman"/>
                <w:sz w:val="24"/>
                <w:szCs w:val="24"/>
              </w:rPr>
              <w:t>Administratīvo izmaksu monetārs novērtējums</w:t>
            </w:r>
          </w:p>
        </w:tc>
        <w:tc>
          <w:tcPr>
            <w:tcW w:w="5528" w:type="dxa"/>
          </w:tcPr>
          <w:p w:rsidR="002C51A5" w:rsidRPr="00B5705E" w:rsidRDefault="007825C0" w:rsidP="00B5705E">
            <w:pPr>
              <w:spacing w:after="0" w:line="240" w:lineRule="auto"/>
              <w:jc w:val="both"/>
              <w:rPr>
                <w:rFonts w:ascii="Times New Roman" w:hAnsi="Times New Roman"/>
                <w:sz w:val="24"/>
                <w:szCs w:val="24"/>
              </w:rPr>
            </w:pPr>
            <w:r w:rsidRPr="00B5705E">
              <w:rPr>
                <w:rFonts w:ascii="Times New Roman" w:hAnsi="Times New Roman"/>
                <w:sz w:val="24"/>
                <w:szCs w:val="24"/>
              </w:rPr>
              <w:t>Nav attiecināms</w:t>
            </w:r>
            <w:r w:rsidR="00BD6B9E" w:rsidRPr="00B5705E">
              <w:rPr>
                <w:rFonts w:ascii="Times New Roman" w:hAnsi="Times New Roman"/>
                <w:sz w:val="24"/>
                <w:szCs w:val="24"/>
              </w:rPr>
              <w:t>.</w:t>
            </w:r>
          </w:p>
        </w:tc>
      </w:tr>
      <w:tr w:rsidR="006E12B6" w:rsidRPr="00B5705E" w:rsidTr="00B65D17">
        <w:tc>
          <w:tcPr>
            <w:tcW w:w="288" w:type="dxa"/>
          </w:tcPr>
          <w:p w:rsidR="002C51A5" w:rsidRPr="00B5705E" w:rsidRDefault="002C51A5" w:rsidP="00B5705E">
            <w:pPr>
              <w:spacing w:after="0" w:line="240" w:lineRule="auto"/>
              <w:jc w:val="both"/>
              <w:rPr>
                <w:rFonts w:ascii="Times New Roman" w:hAnsi="Times New Roman"/>
                <w:sz w:val="24"/>
                <w:szCs w:val="24"/>
              </w:rPr>
            </w:pPr>
            <w:r w:rsidRPr="00B5705E">
              <w:rPr>
                <w:rFonts w:ascii="Times New Roman" w:hAnsi="Times New Roman"/>
                <w:sz w:val="24"/>
                <w:szCs w:val="24"/>
              </w:rPr>
              <w:t>7.</w:t>
            </w:r>
          </w:p>
        </w:tc>
        <w:tc>
          <w:tcPr>
            <w:tcW w:w="3118" w:type="dxa"/>
          </w:tcPr>
          <w:p w:rsidR="00963407" w:rsidRPr="00B5705E" w:rsidRDefault="002C51A5" w:rsidP="00B5705E">
            <w:pPr>
              <w:spacing w:after="0" w:line="240" w:lineRule="auto"/>
              <w:jc w:val="both"/>
              <w:rPr>
                <w:rFonts w:ascii="Times New Roman" w:hAnsi="Times New Roman"/>
                <w:sz w:val="24"/>
                <w:szCs w:val="24"/>
              </w:rPr>
            </w:pPr>
            <w:r w:rsidRPr="00B5705E">
              <w:rPr>
                <w:rFonts w:ascii="Times New Roman" w:hAnsi="Times New Roman"/>
                <w:sz w:val="24"/>
                <w:szCs w:val="24"/>
              </w:rPr>
              <w:t>Cita informācija</w:t>
            </w:r>
          </w:p>
        </w:tc>
        <w:tc>
          <w:tcPr>
            <w:tcW w:w="5528" w:type="dxa"/>
          </w:tcPr>
          <w:p w:rsidR="002C51A5" w:rsidRPr="00B5705E" w:rsidRDefault="002C51A5" w:rsidP="005B2CB4">
            <w:pPr>
              <w:spacing w:after="0" w:line="240" w:lineRule="auto"/>
              <w:jc w:val="both"/>
              <w:rPr>
                <w:rFonts w:ascii="Times New Roman" w:hAnsi="Times New Roman"/>
                <w:sz w:val="24"/>
                <w:szCs w:val="24"/>
              </w:rPr>
            </w:pPr>
            <w:r w:rsidRPr="00B5705E">
              <w:rPr>
                <w:rFonts w:ascii="Times New Roman" w:hAnsi="Times New Roman"/>
                <w:sz w:val="24"/>
                <w:szCs w:val="24"/>
              </w:rPr>
              <w:t>Nav</w:t>
            </w:r>
          </w:p>
        </w:tc>
      </w:tr>
    </w:tbl>
    <w:tbl>
      <w:tblPr>
        <w:tblW w:w="5457"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131"/>
      </w:tblGrid>
      <w:tr w:rsidR="00F93A3A" w:rsidRPr="00B5705E" w:rsidTr="00F93A3A">
        <w:tc>
          <w:tcPr>
            <w:tcW w:w="0" w:type="auto"/>
            <w:tcBorders>
              <w:top w:val="nil"/>
              <w:left w:val="nil"/>
              <w:bottom w:val="nil"/>
              <w:right w:val="nil"/>
            </w:tcBorders>
          </w:tcPr>
          <w:p w:rsidR="00B65D17" w:rsidRPr="00B5705E" w:rsidRDefault="00B65D17" w:rsidP="00B5705E">
            <w:pPr>
              <w:spacing w:after="0" w:line="240" w:lineRule="auto"/>
              <w:jc w:val="both"/>
              <w:rPr>
                <w:rFonts w:ascii="Times New Roman" w:hAnsi="Times New Roman"/>
                <w:sz w:val="24"/>
                <w:szCs w:val="24"/>
              </w:rPr>
            </w:pPr>
          </w:p>
          <w:tbl>
            <w:tblPr>
              <w:tblW w:w="8923"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547"/>
              <w:gridCol w:w="4376"/>
            </w:tblGrid>
            <w:tr w:rsidR="00F93A3A" w:rsidRPr="00B5705E" w:rsidTr="00B65D17">
              <w:tc>
                <w:tcPr>
                  <w:tcW w:w="5000" w:type="pct"/>
                  <w:gridSpan w:val="2"/>
                  <w:tcBorders>
                    <w:top w:val="outset" w:sz="6" w:space="0" w:color="000000"/>
                    <w:left w:val="outset" w:sz="6" w:space="0" w:color="000000"/>
                    <w:bottom w:val="outset" w:sz="6" w:space="0" w:color="000000"/>
                    <w:right w:val="single" w:sz="4" w:space="0" w:color="auto"/>
                  </w:tcBorders>
                </w:tcPr>
                <w:p w:rsidR="00F93A3A" w:rsidRPr="00B5705E" w:rsidRDefault="00F93A3A" w:rsidP="00B5705E">
                  <w:pPr>
                    <w:pStyle w:val="NormalWeb"/>
                    <w:spacing w:before="0" w:beforeAutospacing="0" w:after="0" w:afterAutospacing="0"/>
                    <w:jc w:val="both"/>
                    <w:rPr>
                      <w:b/>
                      <w:bCs/>
                    </w:rPr>
                  </w:pPr>
                  <w:r w:rsidRPr="00B5705E">
                    <w:rPr>
                      <w:b/>
                      <w:bCs/>
                    </w:rPr>
                    <w:t>III. Tiesību akta projekta ietekme uz valsts budžetu un pašvaldību budžetiem</w:t>
                  </w:r>
                </w:p>
              </w:tc>
            </w:tr>
            <w:tr w:rsidR="00F93A3A" w:rsidRPr="00B5705E" w:rsidTr="00B65D17">
              <w:tc>
                <w:tcPr>
                  <w:tcW w:w="2548" w:type="pct"/>
                  <w:tcBorders>
                    <w:top w:val="outset" w:sz="6" w:space="0" w:color="000000"/>
                    <w:left w:val="outset" w:sz="6" w:space="0" w:color="000000"/>
                    <w:bottom w:val="outset" w:sz="6" w:space="0" w:color="000000"/>
                    <w:right w:val="outset" w:sz="6" w:space="0" w:color="000000"/>
                  </w:tcBorders>
                </w:tcPr>
                <w:p w:rsidR="00F93A3A" w:rsidRPr="00B5705E" w:rsidRDefault="00F93A3A" w:rsidP="00B5705E">
                  <w:pPr>
                    <w:pStyle w:val="NormalWeb"/>
                    <w:spacing w:before="0" w:beforeAutospacing="0" w:after="0" w:afterAutospacing="0"/>
                    <w:jc w:val="both"/>
                  </w:pPr>
                  <w:r w:rsidRPr="00B5705E">
                    <w:t>1. Budžeta ieņēmumi:</w:t>
                  </w:r>
                </w:p>
              </w:tc>
              <w:tc>
                <w:tcPr>
                  <w:tcW w:w="2452" w:type="pct"/>
                  <w:tcBorders>
                    <w:top w:val="outset" w:sz="6" w:space="0" w:color="000000"/>
                    <w:left w:val="outset" w:sz="6" w:space="0" w:color="000000"/>
                    <w:bottom w:val="outset" w:sz="6" w:space="0" w:color="000000"/>
                    <w:right w:val="single" w:sz="4" w:space="0" w:color="auto"/>
                  </w:tcBorders>
                  <w:vAlign w:val="center"/>
                </w:tcPr>
                <w:p w:rsidR="00F93A3A" w:rsidRPr="00B5705E" w:rsidRDefault="00F93A3A" w:rsidP="00B5705E">
                  <w:pPr>
                    <w:spacing w:after="0" w:line="240" w:lineRule="auto"/>
                    <w:jc w:val="both"/>
                    <w:rPr>
                      <w:rFonts w:ascii="Times New Roman" w:hAnsi="Times New Roman"/>
                      <w:b/>
                      <w:sz w:val="24"/>
                      <w:szCs w:val="24"/>
                    </w:rPr>
                  </w:pPr>
                  <w:r w:rsidRPr="00B5705E">
                    <w:rPr>
                      <w:rFonts w:ascii="Times New Roman" w:hAnsi="Times New Roman"/>
                      <w:bCs/>
                      <w:iCs/>
                      <w:sz w:val="24"/>
                      <w:szCs w:val="24"/>
                    </w:rPr>
                    <w:t>Nav attiecināms</w:t>
                  </w:r>
                  <w:r w:rsidR="0006216A">
                    <w:rPr>
                      <w:rFonts w:ascii="Times New Roman" w:hAnsi="Times New Roman"/>
                      <w:bCs/>
                      <w:iCs/>
                      <w:sz w:val="24"/>
                      <w:szCs w:val="24"/>
                    </w:rPr>
                    <w:t>.</w:t>
                  </w:r>
                </w:p>
              </w:tc>
            </w:tr>
            <w:tr w:rsidR="00F93A3A" w:rsidRPr="00B5705E" w:rsidTr="00B65D17">
              <w:tc>
                <w:tcPr>
                  <w:tcW w:w="2548" w:type="pct"/>
                  <w:tcBorders>
                    <w:top w:val="outset" w:sz="6" w:space="0" w:color="000000"/>
                    <w:left w:val="outset" w:sz="6" w:space="0" w:color="000000"/>
                    <w:bottom w:val="outset" w:sz="6" w:space="0" w:color="000000"/>
                    <w:right w:val="outset" w:sz="6" w:space="0" w:color="000000"/>
                  </w:tcBorders>
                </w:tcPr>
                <w:p w:rsidR="00F93A3A" w:rsidRPr="00B5705E" w:rsidRDefault="00F93A3A" w:rsidP="00B5705E">
                  <w:pPr>
                    <w:pStyle w:val="NormalWeb"/>
                    <w:spacing w:before="0" w:beforeAutospacing="0" w:after="0" w:afterAutospacing="0"/>
                    <w:jc w:val="both"/>
                  </w:pPr>
                  <w:r w:rsidRPr="00B5705E">
                    <w:t>2. Budžeta izdevumi:</w:t>
                  </w:r>
                </w:p>
              </w:tc>
              <w:tc>
                <w:tcPr>
                  <w:tcW w:w="2452" w:type="pct"/>
                  <w:tcBorders>
                    <w:top w:val="outset" w:sz="6" w:space="0" w:color="000000"/>
                    <w:left w:val="outset" w:sz="6" w:space="0" w:color="000000"/>
                    <w:bottom w:val="outset" w:sz="6" w:space="0" w:color="000000"/>
                    <w:right w:val="single" w:sz="4" w:space="0" w:color="auto"/>
                  </w:tcBorders>
                  <w:vAlign w:val="center"/>
                </w:tcPr>
                <w:p w:rsidR="00F93A3A" w:rsidRPr="00B5705E" w:rsidRDefault="00F93A3A" w:rsidP="00B5705E">
                  <w:pPr>
                    <w:spacing w:after="0" w:line="240" w:lineRule="auto"/>
                    <w:jc w:val="both"/>
                    <w:rPr>
                      <w:rFonts w:ascii="Times New Roman" w:hAnsi="Times New Roman"/>
                      <w:b/>
                      <w:sz w:val="24"/>
                      <w:szCs w:val="24"/>
                    </w:rPr>
                  </w:pPr>
                  <w:r w:rsidRPr="00B5705E">
                    <w:rPr>
                      <w:rFonts w:ascii="Times New Roman" w:hAnsi="Times New Roman"/>
                      <w:bCs/>
                      <w:iCs/>
                      <w:sz w:val="24"/>
                      <w:szCs w:val="24"/>
                    </w:rPr>
                    <w:t>Nav attiecināms</w:t>
                  </w:r>
                  <w:r w:rsidR="0006216A">
                    <w:rPr>
                      <w:rFonts w:ascii="Times New Roman" w:hAnsi="Times New Roman"/>
                      <w:bCs/>
                      <w:iCs/>
                      <w:sz w:val="24"/>
                      <w:szCs w:val="24"/>
                    </w:rPr>
                    <w:t>.</w:t>
                  </w:r>
                </w:p>
              </w:tc>
            </w:tr>
            <w:tr w:rsidR="00F93A3A" w:rsidRPr="00B5705E" w:rsidTr="00B65D17">
              <w:tc>
                <w:tcPr>
                  <w:tcW w:w="2548" w:type="pct"/>
                  <w:tcBorders>
                    <w:top w:val="outset" w:sz="6" w:space="0" w:color="000000"/>
                    <w:left w:val="outset" w:sz="6" w:space="0" w:color="000000"/>
                    <w:bottom w:val="outset" w:sz="6" w:space="0" w:color="000000"/>
                    <w:right w:val="outset" w:sz="6" w:space="0" w:color="000000"/>
                  </w:tcBorders>
                </w:tcPr>
                <w:p w:rsidR="00F93A3A" w:rsidRPr="00B5705E" w:rsidRDefault="00F93A3A" w:rsidP="00B5705E">
                  <w:pPr>
                    <w:pStyle w:val="NormalWeb"/>
                    <w:spacing w:before="0" w:beforeAutospacing="0" w:after="0" w:afterAutospacing="0"/>
                    <w:jc w:val="both"/>
                  </w:pPr>
                  <w:r w:rsidRPr="00B5705E">
                    <w:t>3. Finansiālā ietekme:</w:t>
                  </w:r>
                </w:p>
              </w:tc>
              <w:tc>
                <w:tcPr>
                  <w:tcW w:w="2452" w:type="pct"/>
                  <w:tcBorders>
                    <w:top w:val="outset" w:sz="6" w:space="0" w:color="000000"/>
                    <w:left w:val="outset" w:sz="6" w:space="0" w:color="000000"/>
                    <w:bottom w:val="outset" w:sz="6" w:space="0" w:color="000000"/>
                    <w:right w:val="single" w:sz="4" w:space="0" w:color="auto"/>
                  </w:tcBorders>
                  <w:vAlign w:val="center"/>
                </w:tcPr>
                <w:p w:rsidR="00F93A3A" w:rsidRPr="00B5705E" w:rsidRDefault="00F93A3A" w:rsidP="00B5705E">
                  <w:pPr>
                    <w:spacing w:after="0" w:line="240" w:lineRule="auto"/>
                    <w:jc w:val="both"/>
                    <w:rPr>
                      <w:rFonts w:ascii="Times New Roman" w:hAnsi="Times New Roman"/>
                      <w:b/>
                      <w:sz w:val="24"/>
                      <w:szCs w:val="24"/>
                    </w:rPr>
                  </w:pPr>
                  <w:r w:rsidRPr="00B5705E">
                    <w:rPr>
                      <w:rFonts w:ascii="Times New Roman" w:hAnsi="Times New Roman"/>
                      <w:bCs/>
                      <w:iCs/>
                      <w:sz w:val="24"/>
                      <w:szCs w:val="24"/>
                    </w:rPr>
                    <w:t>Nav attiecināms</w:t>
                  </w:r>
                  <w:r w:rsidR="0006216A">
                    <w:rPr>
                      <w:rFonts w:ascii="Times New Roman" w:hAnsi="Times New Roman"/>
                      <w:bCs/>
                      <w:iCs/>
                      <w:sz w:val="24"/>
                      <w:szCs w:val="24"/>
                    </w:rPr>
                    <w:t>.</w:t>
                  </w:r>
                </w:p>
              </w:tc>
            </w:tr>
            <w:tr w:rsidR="00F93A3A" w:rsidRPr="00B5705E" w:rsidTr="00B65D17">
              <w:trPr>
                <w:trHeight w:val="960"/>
              </w:trPr>
              <w:tc>
                <w:tcPr>
                  <w:tcW w:w="2548" w:type="pct"/>
                  <w:tcBorders>
                    <w:top w:val="outset" w:sz="6" w:space="0" w:color="000000"/>
                    <w:left w:val="outset" w:sz="6" w:space="0" w:color="000000"/>
                    <w:bottom w:val="outset" w:sz="6" w:space="0" w:color="000000"/>
                    <w:right w:val="outset" w:sz="6" w:space="0" w:color="000000"/>
                  </w:tcBorders>
                </w:tcPr>
                <w:p w:rsidR="00F93A3A" w:rsidRPr="00B5705E" w:rsidRDefault="00F93A3A" w:rsidP="00B5705E">
                  <w:pPr>
                    <w:pStyle w:val="NormalWeb"/>
                    <w:spacing w:before="0" w:beforeAutospacing="0" w:after="0" w:afterAutospacing="0"/>
                    <w:jc w:val="both"/>
                  </w:pPr>
                  <w:r w:rsidRPr="00B5705E">
                    <w:t>4. Finanšu līdzekļi papildu izdevumu finansēšanai (kompensējošu izdevumu samazinājumu norāda ar "+" zīmi)</w:t>
                  </w:r>
                </w:p>
              </w:tc>
              <w:tc>
                <w:tcPr>
                  <w:tcW w:w="2452" w:type="pct"/>
                  <w:tcBorders>
                    <w:top w:val="outset" w:sz="6" w:space="0" w:color="000000"/>
                    <w:left w:val="outset" w:sz="6" w:space="0" w:color="000000"/>
                    <w:right w:val="single" w:sz="4" w:space="0" w:color="auto"/>
                  </w:tcBorders>
                  <w:vAlign w:val="center"/>
                </w:tcPr>
                <w:p w:rsidR="00F93A3A" w:rsidRPr="00B5705E" w:rsidRDefault="00F93A3A" w:rsidP="00B5705E">
                  <w:pPr>
                    <w:spacing w:after="0" w:line="240" w:lineRule="auto"/>
                    <w:jc w:val="both"/>
                    <w:rPr>
                      <w:rFonts w:ascii="Times New Roman" w:hAnsi="Times New Roman"/>
                      <w:b/>
                      <w:sz w:val="24"/>
                      <w:szCs w:val="24"/>
                    </w:rPr>
                  </w:pPr>
                  <w:r w:rsidRPr="00B5705E">
                    <w:rPr>
                      <w:rFonts w:ascii="Times New Roman" w:hAnsi="Times New Roman"/>
                      <w:bCs/>
                      <w:iCs/>
                      <w:sz w:val="24"/>
                      <w:szCs w:val="24"/>
                    </w:rPr>
                    <w:t>Nav attiecināms</w:t>
                  </w:r>
                  <w:r w:rsidR="0006216A">
                    <w:rPr>
                      <w:rFonts w:ascii="Times New Roman" w:hAnsi="Times New Roman"/>
                      <w:bCs/>
                      <w:iCs/>
                      <w:sz w:val="24"/>
                      <w:szCs w:val="24"/>
                    </w:rPr>
                    <w:t>.</w:t>
                  </w:r>
                </w:p>
              </w:tc>
            </w:tr>
            <w:tr w:rsidR="00F93A3A" w:rsidRPr="00B5705E" w:rsidTr="00B65D17">
              <w:tc>
                <w:tcPr>
                  <w:tcW w:w="2548" w:type="pct"/>
                  <w:tcBorders>
                    <w:top w:val="outset" w:sz="6" w:space="0" w:color="000000"/>
                    <w:left w:val="outset" w:sz="6" w:space="0" w:color="000000"/>
                    <w:bottom w:val="outset" w:sz="6" w:space="0" w:color="000000"/>
                    <w:right w:val="outset" w:sz="6" w:space="0" w:color="000000"/>
                  </w:tcBorders>
                </w:tcPr>
                <w:p w:rsidR="00F93A3A" w:rsidRPr="00B5705E" w:rsidRDefault="00F93A3A" w:rsidP="00B5705E">
                  <w:pPr>
                    <w:pStyle w:val="NormalWeb"/>
                    <w:spacing w:before="0" w:beforeAutospacing="0" w:after="0" w:afterAutospacing="0"/>
                    <w:jc w:val="both"/>
                  </w:pPr>
                  <w:r w:rsidRPr="00B5705E">
                    <w:t>5. Precizēta finansiālā ietekme:</w:t>
                  </w:r>
                </w:p>
              </w:tc>
              <w:tc>
                <w:tcPr>
                  <w:tcW w:w="2452" w:type="pct"/>
                  <w:tcBorders>
                    <w:top w:val="outset" w:sz="6" w:space="0" w:color="000000"/>
                    <w:left w:val="outset" w:sz="6" w:space="0" w:color="000000"/>
                    <w:bottom w:val="outset" w:sz="6" w:space="0" w:color="000000"/>
                    <w:right w:val="single" w:sz="4" w:space="0" w:color="auto"/>
                  </w:tcBorders>
                  <w:vAlign w:val="center"/>
                </w:tcPr>
                <w:p w:rsidR="00F93A3A" w:rsidRPr="00B5705E" w:rsidRDefault="00F93A3A" w:rsidP="00B5705E">
                  <w:pPr>
                    <w:spacing w:after="0" w:line="240" w:lineRule="auto"/>
                    <w:jc w:val="both"/>
                    <w:rPr>
                      <w:rFonts w:ascii="Times New Roman" w:hAnsi="Times New Roman"/>
                      <w:b/>
                      <w:sz w:val="24"/>
                      <w:szCs w:val="24"/>
                    </w:rPr>
                  </w:pPr>
                  <w:r w:rsidRPr="00B5705E">
                    <w:rPr>
                      <w:rFonts w:ascii="Times New Roman" w:hAnsi="Times New Roman"/>
                      <w:bCs/>
                      <w:iCs/>
                      <w:sz w:val="24"/>
                      <w:szCs w:val="24"/>
                    </w:rPr>
                    <w:t>Nav attiecināms</w:t>
                  </w:r>
                  <w:r w:rsidR="0006216A">
                    <w:rPr>
                      <w:rFonts w:ascii="Times New Roman" w:hAnsi="Times New Roman"/>
                      <w:bCs/>
                      <w:iCs/>
                      <w:sz w:val="24"/>
                      <w:szCs w:val="24"/>
                    </w:rPr>
                    <w:t>.</w:t>
                  </w:r>
                </w:p>
              </w:tc>
            </w:tr>
            <w:tr w:rsidR="00F93A3A" w:rsidRPr="00B5705E" w:rsidTr="00CD2256">
              <w:tc>
                <w:tcPr>
                  <w:tcW w:w="2548" w:type="pct"/>
                  <w:tcBorders>
                    <w:top w:val="outset" w:sz="6" w:space="0" w:color="000000"/>
                    <w:left w:val="outset" w:sz="6" w:space="0" w:color="000000"/>
                    <w:bottom w:val="single" w:sz="4" w:space="0" w:color="auto"/>
                    <w:right w:val="outset" w:sz="6" w:space="0" w:color="000000"/>
                  </w:tcBorders>
                </w:tcPr>
                <w:p w:rsidR="00F93A3A" w:rsidRPr="00B5705E" w:rsidRDefault="00F93A3A" w:rsidP="00B5705E">
                  <w:pPr>
                    <w:pStyle w:val="NormalWeb"/>
                    <w:spacing w:before="0" w:beforeAutospacing="0" w:after="0" w:afterAutospacing="0"/>
                    <w:jc w:val="both"/>
                  </w:pPr>
                  <w:r w:rsidRPr="00B5705E">
                    <w:t>6. Detalizēts ieņēmumu un izdevumu aprēķins (ja nepieciešams, detalizētu ieņēmumu un izdevumu aprēķinu var pievienot anotācijas pielikumā):</w:t>
                  </w:r>
                </w:p>
              </w:tc>
              <w:tc>
                <w:tcPr>
                  <w:tcW w:w="2452" w:type="pct"/>
                  <w:tcBorders>
                    <w:top w:val="outset" w:sz="6" w:space="0" w:color="000000"/>
                    <w:left w:val="outset" w:sz="6" w:space="0" w:color="000000"/>
                    <w:bottom w:val="single" w:sz="4" w:space="0" w:color="auto"/>
                    <w:right w:val="single" w:sz="4" w:space="0" w:color="auto"/>
                  </w:tcBorders>
                  <w:vAlign w:val="center"/>
                </w:tcPr>
                <w:p w:rsidR="00F93A3A" w:rsidRPr="00B5705E" w:rsidRDefault="00F93A3A" w:rsidP="00B5705E">
                  <w:pPr>
                    <w:autoSpaceDE w:val="0"/>
                    <w:autoSpaceDN w:val="0"/>
                    <w:adjustRightInd w:val="0"/>
                    <w:spacing w:after="0" w:line="240" w:lineRule="auto"/>
                    <w:jc w:val="both"/>
                    <w:rPr>
                      <w:rFonts w:ascii="Times New Roman" w:hAnsi="Times New Roman"/>
                      <w:sz w:val="24"/>
                      <w:szCs w:val="24"/>
                      <w:lang w:val="de-DE"/>
                    </w:rPr>
                  </w:pPr>
                  <w:r w:rsidRPr="00B5705E">
                    <w:rPr>
                      <w:rFonts w:ascii="Times New Roman" w:hAnsi="Times New Roman"/>
                      <w:bCs/>
                      <w:iCs/>
                      <w:sz w:val="24"/>
                      <w:szCs w:val="24"/>
                    </w:rPr>
                    <w:t>Nav attiecināms</w:t>
                  </w:r>
                  <w:r w:rsidR="0006216A">
                    <w:rPr>
                      <w:rFonts w:ascii="Times New Roman" w:hAnsi="Times New Roman"/>
                      <w:bCs/>
                      <w:iCs/>
                      <w:sz w:val="24"/>
                      <w:szCs w:val="24"/>
                    </w:rPr>
                    <w:t>.</w:t>
                  </w:r>
                </w:p>
              </w:tc>
            </w:tr>
            <w:tr w:rsidR="00F93A3A" w:rsidRPr="00B5705E" w:rsidTr="00CD2256">
              <w:tc>
                <w:tcPr>
                  <w:tcW w:w="2548" w:type="pct"/>
                  <w:tcBorders>
                    <w:top w:val="single" w:sz="4" w:space="0" w:color="auto"/>
                    <w:left w:val="single" w:sz="4" w:space="0" w:color="auto"/>
                    <w:bottom w:val="single" w:sz="4" w:space="0" w:color="auto"/>
                    <w:right w:val="single" w:sz="4" w:space="0" w:color="auto"/>
                  </w:tcBorders>
                </w:tcPr>
                <w:p w:rsidR="00F93A3A" w:rsidRPr="00B5705E" w:rsidRDefault="00F93A3A" w:rsidP="00B5705E">
                  <w:pPr>
                    <w:pStyle w:val="NormalWeb"/>
                    <w:spacing w:before="0" w:beforeAutospacing="0" w:after="0" w:afterAutospacing="0"/>
                    <w:jc w:val="both"/>
                  </w:pPr>
                  <w:r w:rsidRPr="00B5705E">
                    <w:t>7. Cita informācija</w:t>
                  </w:r>
                </w:p>
              </w:tc>
              <w:tc>
                <w:tcPr>
                  <w:tcW w:w="2452" w:type="pct"/>
                  <w:tcBorders>
                    <w:top w:val="single" w:sz="4" w:space="0" w:color="auto"/>
                    <w:left w:val="single" w:sz="4" w:space="0" w:color="auto"/>
                    <w:bottom w:val="single" w:sz="4" w:space="0" w:color="auto"/>
                    <w:right w:val="single" w:sz="4" w:space="0" w:color="auto"/>
                  </w:tcBorders>
                </w:tcPr>
                <w:p w:rsidR="00D04164" w:rsidRPr="00B5705E" w:rsidRDefault="00D04164" w:rsidP="00B5705E">
                  <w:pPr>
                    <w:spacing w:after="0" w:line="240" w:lineRule="auto"/>
                    <w:jc w:val="both"/>
                    <w:rPr>
                      <w:rFonts w:ascii="Times New Roman" w:hAnsi="Times New Roman"/>
                      <w:sz w:val="24"/>
                      <w:szCs w:val="24"/>
                    </w:rPr>
                  </w:pPr>
                  <w:r w:rsidRPr="00B5705E">
                    <w:rPr>
                      <w:rFonts w:ascii="Times New Roman" w:hAnsi="Times New Roman"/>
                      <w:sz w:val="24"/>
                      <w:szCs w:val="24"/>
                    </w:rPr>
                    <w:t>Noteikuma projekta īstenošanai valsts iestādēs papildus budžeta līdzekļi netiks pieprasīti.</w:t>
                  </w:r>
                </w:p>
                <w:p w:rsidR="00D04164" w:rsidRPr="00B5705E" w:rsidRDefault="00D04164" w:rsidP="00B5705E">
                  <w:pPr>
                    <w:spacing w:after="0" w:line="240" w:lineRule="auto"/>
                    <w:jc w:val="both"/>
                    <w:rPr>
                      <w:rFonts w:ascii="Times New Roman" w:hAnsi="Times New Roman"/>
                      <w:sz w:val="24"/>
                      <w:szCs w:val="24"/>
                      <w:highlight w:val="yellow"/>
                    </w:rPr>
                  </w:pPr>
                </w:p>
                <w:p w:rsidR="00D04164" w:rsidRPr="00B5705E" w:rsidRDefault="00D04164" w:rsidP="00B5705E">
                  <w:pPr>
                    <w:spacing w:after="0" w:line="240" w:lineRule="auto"/>
                    <w:jc w:val="both"/>
                    <w:rPr>
                      <w:rFonts w:ascii="Times New Roman" w:hAnsi="Times New Roman"/>
                      <w:sz w:val="24"/>
                      <w:szCs w:val="24"/>
                      <w:highlight w:val="yellow"/>
                    </w:rPr>
                  </w:pPr>
                </w:p>
                <w:p w:rsidR="00F93A3A" w:rsidRPr="00B5705E" w:rsidRDefault="00F93A3A" w:rsidP="00B5705E">
                  <w:pPr>
                    <w:spacing w:after="0" w:line="240" w:lineRule="auto"/>
                    <w:jc w:val="both"/>
                    <w:rPr>
                      <w:rFonts w:ascii="Times New Roman" w:hAnsi="Times New Roman"/>
                      <w:b/>
                      <w:sz w:val="24"/>
                      <w:szCs w:val="24"/>
                    </w:rPr>
                  </w:pPr>
                </w:p>
              </w:tc>
            </w:tr>
          </w:tbl>
          <w:p w:rsidR="00F93A3A" w:rsidRPr="00B5705E" w:rsidRDefault="00F93A3A" w:rsidP="00B5705E">
            <w:pPr>
              <w:pStyle w:val="NormalWeb"/>
              <w:spacing w:before="0" w:beforeAutospacing="0" w:after="0" w:afterAutospacing="0"/>
              <w:jc w:val="both"/>
              <w:rPr>
                <w:color w:val="000000"/>
              </w:rPr>
            </w:pPr>
          </w:p>
        </w:tc>
      </w:tr>
    </w:tbl>
    <w:tbl>
      <w:tblPr>
        <w:tblStyle w:val="TableGrid"/>
        <w:tblW w:w="9180" w:type="dxa"/>
        <w:tblLayout w:type="fixed"/>
        <w:tblLook w:val="04A0"/>
      </w:tblPr>
      <w:tblGrid>
        <w:gridCol w:w="9180"/>
      </w:tblGrid>
      <w:tr w:rsidR="007003D8" w:rsidRPr="00B5705E" w:rsidTr="00283BDD">
        <w:tc>
          <w:tcPr>
            <w:tcW w:w="9180" w:type="dxa"/>
          </w:tcPr>
          <w:p w:rsidR="007003D8" w:rsidRPr="00B5705E" w:rsidRDefault="00C923C9" w:rsidP="00A83FDB">
            <w:pPr>
              <w:spacing w:after="0" w:line="240" w:lineRule="auto"/>
              <w:jc w:val="both"/>
              <w:rPr>
                <w:rFonts w:ascii="Times New Roman" w:hAnsi="Times New Roman"/>
                <w:b/>
                <w:sz w:val="24"/>
                <w:szCs w:val="24"/>
              </w:rPr>
            </w:pPr>
            <w:r w:rsidRPr="00B5705E">
              <w:rPr>
                <w:rFonts w:ascii="Times New Roman" w:hAnsi="Times New Roman"/>
                <w:b/>
                <w:sz w:val="24"/>
                <w:szCs w:val="24"/>
              </w:rPr>
              <w:t xml:space="preserve">IV. </w:t>
            </w:r>
            <w:r w:rsidR="00F21FEC">
              <w:rPr>
                <w:rFonts w:ascii="Times New Roman" w:hAnsi="Times New Roman"/>
                <w:b/>
                <w:sz w:val="24"/>
                <w:szCs w:val="24"/>
              </w:rPr>
              <w:t>, V.</w:t>
            </w:r>
            <w:r w:rsidR="00A83FDB">
              <w:rPr>
                <w:rFonts w:ascii="Times New Roman" w:hAnsi="Times New Roman"/>
                <w:b/>
                <w:sz w:val="24"/>
                <w:szCs w:val="24"/>
              </w:rPr>
              <w:t xml:space="preserve"> un </w:t>
            </w:r>
            <w:r w:rsidR="008C68D4">
              <w:rPr>
                <w:rFonts w:ascii="Times New Roman" w:hAnsi="Times New Roman"/>
                <w:b/>
                <w:sz w:val="24"/>
                <w:szCs w:val="24"/>
              </w:rPr>
              <w:t>VI.</w:t>
            </w:r>
            <w:r w:rsidR="00F21FEC">
              <w:rPr>
                <w:rFonts w:ascii="Times New Roman" w:hAnsi="Times New Roman"/>
                <w:b/>
                <w:sz w:val="24"/>
                <w:szCs w:val="24"/>
              </w:rPr>
              <w:t xml:space="preserve"> </w:t>
            </w:r>
            <w:r w:rsidRPr="00B5705E">
              <w:rPr>
                <w:rFonts w:ascii="Times New Roman" w:hAnsi="Times New Roman"/>
                <w:sz w:val="24"/>
                <w:szCs w:val="24"/>
              </w:rPr>
              <w:t>sadaļa</w:t>
            </w:r>
            <w:r w:rsidR="00A83FDB">
              <w:rPr>
                <w:rFonts w:ascii="Times New Roman" w:hAnsi="Times New Roman"/>
                <w:sz w:val="24"/>
                <w:szCs w:val="24"/>
              </w:rPr>
              <w:t xml:space="preserve"> -</w:t>
            </w:r>
            <w:r w:rsidRPr="00B5705E">
              <w:rPr>
                <w:rFonts w:ascii="Times New Roman" w:hAnsi="Times New Roman"/>
                <w:sz w:val="24"/>
                <w:szCs w:val="24"/>
              </w:rPr>
              <w:t xml:space="preserve"> nav attiecināms</w:t>
            </w:r>
          </w:p>
        </w:tc>
      </w:tr>
    </w:tbl>
    <w:p w:rsidR="00B14980" w:rsidRPr="00B5705E" w:rsidRDefault="00B14980" w:rsidP="00B5705E">
      <w:pPr>
        <w:spacing w:after="0" w:line="240" w:lineRule="auto"/>
        <w:jc w:val="both"/>
        <w:rPr>
          <w:rFonts w:ascii="Times New Roman" w:hAnsi="Times New Roman"/>
          <w:sz w:val="24"/>
          <w:szCs w:val="24"/>
        </w:rPr>
      </w:pPr>
    </w:p>
    <w:tbl>
      <w:tblPr>
        <w:tblStyle w:val="TableGrid"/>
        <w:tblW w:w="9180" w:type="dxa"/>
        <w:tblLook w:val="04A0"/>
      </w:tblPr>
      <w:tblGrid>
        <w:gridCol w:w="534"/>
        <w:gridCol w:w="4110"/>
        <w:gridCol w:w="4536"/>
      </w:tblGrid>
      <w:tr w:rsidR="00CA2061" w:rsidRPr="00B5705E" w:rsidTr="00963407">
        <w:tc>
          <w:tcPr>
            <w:tcW w:w="9180" w:type="dxa"/>
            <w:gridSpan w:val="3"/>
          </w:tcPr>
          <w:p w:rsidR="00CA2061" w:rsidRPr="00B5705E" w:rsidRDefault="00CA2061" w:rsidP="00B5705E">
            <w:pPr>
              <w:spacing w:after="0" w:line="240" w:lineRule="auto"/>
              <w:jc w:val="both"/>
              <w:rPr>
                <w:rFonts w:ascii="Times New Roman" w:hAnsi="Times New Roman"/>
                <w:b/>
                <w:sz w:val="24"/>
                <w:szCs w:val="24"/>
              </w:rPr>
            </w:pPr>
            <w:r w:rsidRPr="00B5705E">
              <w:rPr>
                <w:rFonts w:ascii="Times New Roman" w:hAnsi="Times New Roman"/>
                <w:b/>
                <w:sz w:val="24"/>
                <w:szCs w:val="24"/>
              </w:rPr>
              <w:t>VII. Tiesību akta projekta izpildes nodrošināšana un tās ietekme uz institūcijām</w:t>
            </w:r>
          </w:p>
        </w:tc>
      </w:tr>
      <w:tr w:rsidR="00CC120F" w:rsidRPr="00B5705E" w:rsidTr="00963407">
        <w:tc>
          <w:tcPr>
            <w:tcW w:w="9180" w:type="dxa"/>
            <w:gridSpan w:val="3"/>
          </w:tcPr>
          <w:p w:rsidR="00CC120F" w:rsidRPr="00B5705E" w:rsidRDefault="00CC120F" w:rsidP="00B5705E">
            <w:pPr>
              <w:spacing w:after="0" w:line="240" w:lineRule="auto"/>
              <w:jc w:val="both"/>
              <w:rPr>
                <w:rFonts w:ascii="Times New Roman" w:hAnsi="Times New Roman"/>
                <w:b/>
                <w:sz w:val="24"/>
                <w:szCs w:val="24"/>
              </w:rPr>
            </w:pPr>
          </w:p>
        </w:tc>
      </w:tr>
      <w:tr w:rsidR="00CA2061" w:rsidRPr="00B5705E" w:rsidTr="00CA2061">
        <w:tc>
          <w:tcPr>
            <w:tcW w:w="534" w:type="dxa"/>
          </w:tcPr>
          <w:p w:rsidR="00CA2061" w:rsidRPr="00B5705E" w:rsidRDefault="00963407" w:rsidP="00B5705E">
            <w:pPr>
              <w:spacing w:after="0" w:line="240" w:lineRule="auto"/>
              <w:jc w:val="both"/>
              <w:rPr>
                <w:rFonts w:ascii="Times New Roman" w:hAnsi="Times New Roman"/>
                <w:sz w:val="24"/>
                <w:szCs w:val="24"/>
              </w:rPr>
            </w:pPr>
            <w:r w:rsidRPr="00B5705E">
              <w:rPr>
                <w:rFonts w:ascii="Times New Roman" w:hAnsi="Times New Roman"/>
                <w:sz w:val="24"/>
                <w:szCs w:val="24"/>
              </w:rPr>
              <w:t>1.</w:t>
            </w:r>
          </w:p>
        </w:tc>
        <w:tc>
          <w:tcPr>
            <w:tcW w:w="4110" w:type="dxa"/>
          </w:tcPr>
          <w:p w:rsidR="00CA2061" w:rsidRPr="00B5705E" w:rsidRDefault="00963407" w:rsidP="00B5705E">
            <w:pPr>
              <w:spacing w:after="0" w:line="240" w:lineRule="auto"/>
              <w:jc w:val="both"/>
              <w:rPr>
                <w:rFonts w:ascii="Times New Roman" w:hAnsi="Times New Roman"/>
                <w:sz w:val="24"/>
                <w:szCs w:val="24"/>
              </w:rPr>
            </w:pPr>
            <w:r w:rsidRPr="00B5705E">
              <w:rPr>
                <w:rFonts w:ascii="Times New Roman" w:hAnsi="Times New Roman"/>
                <w:sz w:val="24"/>
                <w:szCs w:val="24"/>
              </w:rPr>
              <w:t>Projekta izpildē iesaistītās institūcijas</w:t>
            </w:r>
          </w:p>
        </w:tc>
        <w:tc>
          <w:tcPr>
            <w:tcW w:w="4536" w:type="dxa"/>
          </w:tcPr>
          <w:p w:rsidR="00A775E1" w:rsidRPr="00B5705E" w:rsidRDefault="00963407" w:rsidP="007F5197">
            <w:pPr>
              <w:spacing w:after="0" w:line="240" w:lineRule="auto"/>
              <w:jc w:val="both"/>
              <w:rPr>
                <w:rFonts w:ascii="Times New Roman" w:hAnsi="Times New Roman"/>
                <w:sz w:val="24"/>
                <w:szCs w:val="24"/>
              </w:rPr>
            </w:pPr>
            <w:r w:rsidRPr="00B5705E">
              <w:rPr>
                <w:rFonts w:ascii="Times New Roman" w:hAnsi="Times New Roman"/>
                <w:sz w:val="24"/>
                <w:szCs w:val="24"/>
              </w:rPr>
              <w:t>Latvijas Infektoloģijas centrs</w:t>
            </w:r>
          </w:p>
        </w:tc>
      </w:tr>
      <w:tr w:rsidR="00CA2061" w:rsidRPr="00B5705E" w:rsidTr="00CA2061">
        <w:tc>
          <w:tcPr>
            <w:tcW w:w="534" w:type="dxa"/>
          </w:tcPr>
          <w:p w:rsidR="00CA2061" w:rsidRPr="00B5705E" w:rsidRDefault="00963407" w:rsidP="00B5705E">
            <w:pPr>
              <w:spacing w:after="0" w:line="240" w:lineRule="auto"/>
              <w:jc w:val="both"/>
              <w:rPr>
                <w:rFonts w:ascii="Times New Roman" w:hAnsi="Times New Roman"/>
                <w:sz w:val="24"/>
                <w:szCs w:val="24"/>
              </w:rPr>
            </w:pPr>
            <w:r w:rsidRPr="00B5705E">
              <w:rPr>
                <w:rFonts w:ascii="Times New Roman" w:hAnsi="Times New Roman"/>
                <w:sz w:val="24"/>
                <w:szCs w:val="24"/>
              </w:rPr>
              <w:t xml:space="preserve">2. </w:t>
            </w:r>
          </w:p>
        </w:tc>
        <w:tc>
          <w:tcPr>
            <w:tcW w:w="4110" w:type="dxa"/>
          </w:tcPr>
          <w:p w:rsidR="00CA2061" w:rsidRPr="00B5705E" w:rsidRDefault="00963407" w:rsidP="00B5705E">
            <w:pPr>
              <w:spacing w:after="0" w:line="240" w:lineRule="auto"/>
              <w:jc w:val="both"/>
              <w:rPr>
                <w:rFonts w:ascii="Times New Roman" w:hAnsi="Times New Roman"/>
                <w:sz w:val="24"/>
                <w:szCs w:val="24"/>
              </w:rPr>
            </w:pPr>
            <w:r w:rsidRPr="00B5705E">
              <w:rPr>
                <w:rFonts w:ascii="Times New Roman" w:hAnsi="Times New Roman"/>
                <w:sz w:val="24"/>
                <w:szCs w:val="24"/>
              </w:rPr>
              <w:t>Projekta izpildes ietekme uz pārvaldes funkcijām</w:t>
            </w:r>
          </w:p>
        </w:tc>
        <w:tc>
          <w:tcPr>
            <w:tcW w:w="4536" w:type="dxa"/>
          </w:tcPr>
          <w:p w:rsidR="00CA2061" w:rsidRPr="00B5705E" w:rsidRDefault="00BD6B9E" w:rsidP="00B5705E">
            <w:pPr>
              <w:spacing w:after="0" w:line="240" w:lineRule="auto"/>
              <w:jc w:val="both"/>
              <w:rPr>
                <w:rFonts w:ascii="Times New Roman" w:hAnsi="Times New Roman"/>
                <w:sz w:val="24"/>
                <w:szCs w:val="24"/>
              </w:rPr>
            </w:pPr>
            <w:r w:rsidRPr="00B5705E">
              <w:rPr>
                <w:rFonts w:ascii="Times New Roman" w:hAnsi="Times New Roman"/>
                <w:sz w:val="24"/>
                <w:szCs w:val="24"/>
              </w:rPr>
              <w:t>Nav attiecināms.</w:t>
            </w:r>
          </w:p>
        </w:tc>
      </w:tr>
      <w:tr w:rsidR="00CA2061" w:rsidRPr="00B5705E" w:rsidTr="00CA2061">
        <w:tc>
          <w:tcPr>
            <w:tcW w:w="534" w:type="dxa"/>
          </w:tcPr>
          <w:p w:rsidR="00CA2061" w:rsidRPr="00B5705E" w:rsidRDefault="00963407" w:rsidP="00B5705E">
            <w:pPr>
              <w:spacing w:after="0" w:line="240" w:lineRule="auto"/>
              <w:jc w:val="both"/>
              <w:rPr>
                <w:rFonts w:ascii="Times New Roman" w:hAnsi="Times New Roman"/>
                <w:sz w:val="24"/>
                <w:szCs w:val="24"/>
              </w:rPr>
            </w:pPr>
            <w:r w:rsidRPr="00B5705E">
              <w:rPr>
                <w:rFonts w:ascii="Times New Roman" w:hAnsi="Times New Roman"/>
                <w:sz w:val="24"/>
                <w:szCs w:val="24"/>
              </w:rPr>
              <w:t>.</w:t>
            </w:r>
          </w:p>
        </w:tc>
        <w:tc>
          <w:tcPr>
            <w:tcW w:w="4110" w:type="dxa"/>
          </w:tcPr>
          <w:p w:rsidR="00CA2061" w:rsidRPr="00B5705E" w:rsidRDefault="00963407" w:rsidP="00B5705E">
            <w:pPr>
              <w:spacing w:after="0" w:line="240" w:lineRule="auto"/>
              <w:jc w:val="both"/>
              <w:rPr>
                <w:rFonts w:ascii="Times New Roman" w:hAnsi="Times New Roman"/>
                <w:sz w:val="24"/>
                <w:szCs w:val="24"/>
              </w:rPr>
            </w:pPr>
            <w:r w:rsidRPr="00B5705E">
              <w:rPr>
                <w:rFonts w:ascii="Times New Roman" w:hAnsi="Times New Roman"/>
                <w:sz w:val="24"/>
                <w:szCs w:val="24"/>
              </w:rPr>
              <w:t>Projekta izpildes ietekme uz pārvaldes institucionālo struktūru.</w:t>
            </w:r>
          </w:p>
          <w:p w:rsidR="00963407" w:rsidRPr="00B5705E" w:rsidRDefault="00963407" w:rsidP="00B5705E">
            <w:pPr>
              <w:spacing w:after="0" w:line="240" w:lineRule="auto"/>
              <w:jc w:val="both"/>
              <w:rPr>
                <w:rFonts w:ascii="Times New Roman" w:hAnsi="Times New Roman"/>
                <w:sz w:val="24"/>
                <w:szCs w:val="24"/>
              </w:rPr>
            </w:pPr>
            <w:r w:rsidRPr="00B5705E">
              <w:rPr>
                <w:rFonts w:ascii="Times New Roman" w:hAnsi="Times New Roman"/>
                <w:sz w:val="24"/>
                <w:szCs w:val="24"/>
              </w:rPr>
              <w:t>Jaunu institūciju izveide</w:t>
            </w:r>
          </w:p>
        </w:tc>
        <w:tc>
          <w:tcPr>
            <w:tcW w:w="4536" w:type="dxa"/>
          </w:tcPr>
          <w:p w:rsidR="00CA2061" w:rsidRPr="00B5705E" w:rsidRDefault="00BD6B9E" w:rsidP="00B5705E">
            <w:pPr>
              <w:spacing w:after="0" w:line="240" w:lineRule="auto"/>
              <w:jc w:val="both"/>
              <w:rPr>
                <w:rFonts w:ascii="Times New Roman" w:hAnsi="Times New Roman"/>
                <w:sz w:val="24"/>
                <w:szCs w:val="24"/>
              </w:rPr>
            </w:pPr>
            <w:r w:rsidRPr="00B5705E">
              <w:rPr>
                <w:rFonts w:ascii="Times New Roman" w:hAnsi="Times New Roman"/>
                <w:sz w:val="24"/>
                <w:szCs w:val="24"/>
              </w:rPr>
              <w:t>Nav attiecināms.</w:t>
            </w:r>
          </w:p>
        </w:tc>
      </w:tr>
      <w:tr w:rsidR="00CA2061" w:rsidRPr="00B5705E" w:rsidTr="00CA2061">
        <w:tc>
          <w:tcPr>
            <w:tcW w:w="534" w:type="dxa"/>
          </w:tcPr>
          <w:p w:rsidR="00CA2061" w:rsidRPr="00B5705E" w:rsidRDefault="00963407" w:rsidP="00B5705E">
            <w:pPr>
              <w:spacing w:after="0" w:line="240" w:lineRule="auto"/>
              <w:jc w:val="both"/>
              <w:rPr>
                <w:rFonts w:ascii="Times New Roman" w:hAnsi="Times New Roman"/>
                <w:sz w:val="24"/>
                <w:szCs w:val="24"/>
              </w:rPr>
            </w:pPr>
            <w:r w:rsidRPr="00B5705E">
              <w:rPr>
                <w:rFonts w:ascii="Times New Roman" w:hAnsi="Times New Roman"/>
                <w:sz w:val="24"/>
                <w:szCs w:val="24"/>
              </w:rPr>
              <w:t>4.</w:t>
            </w:r>
          </w:p>
        </w:tc>
        <w:tc>
          <w:tcPr>
            <w:tcW w:w="4110" w:type="dxa"/>
          </w:tcPr>
          <w:p w:rsidR="00963407" w:rsidRPr="00B5705E" w:rsidRDefault="00963407" w:rsidP="00B5705E">
            <w:pPr>
              <w:spacing w:after="0" w:line="240" w:lineRule="auto"/>
              <w:jc w:val="both"/>
              <w:rPr>
                <w:rFonts w:ascii="Times New Roman" w:hAnsi="Times New Roman"/>
                <w:sz w:val="24"/>
                <w:szCs w:val="24"/>
              </w:rPr>
            </w:pPr>
            <w:r w:rsidRPr="00B5705E">
              <w:rPr>
                <w:rFonts w:ascii="Times New Roman" w:hAnsi="Times New Roman"/>
                <w:sz w:val="24"/>
                <w:szCs w:val="24"/>
              </w:rPr>
              <w:t>Projekta izpildes ietekme uz pārvaldes institucionālo struktūru.</w:t>
            </w:r>
          </w:p>
          <w:p w:rsidR="00CA2061" w:rsidRPr="00B5705E" w:rsidRDefault="00963407" w:rsidP="00B5705E">
            <w:pPr>
              <w:spacing w:after="0" w:line="240" w:lineRule="auto"/>
              <w:jc w:val="both"/>
              <w:rPr>
                <w:rFonts w:ascii="Times New Roman" w:hAnsi="Times New Roman"/>
                <w:sz w:val="24"/>
                <w:szCs w:val="24"/>
              </w:rPr>
            </w:pPr>
            <w:r w:rsidRPr="00B5705E">
              <w:rPr>
                <w:rFonts w:ascii="Times New Roman" w:hAnsi="Times New Roman"/>
                <w:sz w:val="24"/>
                <w:szCs w:val="24"/>
              </w:rPr>
              <w:t>Esošo institūciju likvidācija</w:t>
            </w:r>
          </w:p>
        </w:tc>
        <w:tc>
          <w:tcPr>
            <w:tcW w:w="4536" w:type="dxa"/>
          </w:tcPr>
          <w:p w:rsidR="00CA2061" w:rsidRPr="00B5705E" w:rsidRDefault="00E968C5" w:rsidP="00B5705E">
            <w:pPr>
              <w:spacing w:after="0" w:line="240" w:lineRule="auto"/>
              <w:jc w:val="both"/>
              <w:rPr>
                <w:rFonts w:ascii="Times New Roman" w:hAnsi="Times New Roman"/>
                <w:sz w:val="24"/>
                <w:szCs w:val="24"/>
              </w:rPr>
            </w:pPr>
            <w:r w:rsidRPr="00B5705E">
              <w:rPr>
                <w:rFonts w:ascii="Times New Roman" w:hAnsi="Times New Roman"/>
                <w:sz w:val="24"/>
                <w:szCs w:val="24"/>
              </w:rPr>
              <w:t>Nav attiecināms</w:t>
            </w:r>
            <w:r w:rsidR="00BD6B9E" w:rsidRPr="00B5705E">
              <w:rPr>
                <w:rFonts w:ascii="Times New Roman" w:hAnsi="Times New Roman"/>
                <w:sz w:val="24"/>
                <w:szCs w:val="24"/>
              </w:rPr>
              <w:t>.</w:t>
            </w:r>
          </w:p>
        </w:tc>
      </w:tr>
      <w:tr w:rsidR="00CA2061" w:rsidRPr="00B5705E" w:rsidTr="00CA2061">
        <w:tc>
          <w:tcPr>
            <w:tcW w:w="534" w:type="dxa"/>
          </w:tcPr>
          <w:p w:rsidR="00CA2061" w:rsidRPr="00B5705E" w:rsidRDefault="00963407" w:rsidP="00B5705E">
            <w:pPr>
              <w:spacing w:after="0" w:line="240" w:lineRule="auto"/>
              <w:jc w:val="both"/>
              <w:rPr>
                <w:rFonts w:ascii="Times New Roman" w:hAnsi="Times New Roman"/>
                <w:sz w:val="24"/>
                <w:szCs w:val="24"/>
              </w:rPr>
            </w:pPr>
            <w:r w:rsidRPr="00B5705E">
              <w:rPr>
                <w:rFonts w:ascii="Times New Roman" w:hAnsi="Times New Roman"/>
                <w:sz w:val="24"/>
                <w:szCs w:val="24"/>
              </w:rPr>
              <w:t>5.</w:t>
            </w:r>
          </w:p>
        </w:tc>
        <w:tc>
          <w:tcPr>
            <w:tcW w:w="4110" w:type="dxa"/>
          </w:tcPr>
          <w:p w:rsidR="00963407" w:rsidRPr="00B5705E" w:rsidRDefault="00963407" w:rsidP="00B5705E">
            <w:pPr>
              <w:spacing w:after="0" w:line="240" w:lineRule="auto"/>
              <w:jc w:val="both"/>
              <w:rPr>
                <w:rFonts w:ascii="Times New Roman" w:hAnsi="Times New Roman"/>
                <w:sz w:val="24"/>
                <w:szCs w:val="24"/>
              </w:rPr>
            </w:pPr>
            <w:r w:rsidRPr="00B5705E">
              <w:rPr>
                <w:rFonts w:ascii="Times New Roman" w:hAnsi="Times New Roman"/>
                <w:sz w:val="24"/>
                <w:szCs w:val="24"/>
              </w:rPr>
              <w:t>Projekta izpildes ietekme uz pārvaldes institucionālo struktūru.</w:t>
            </w:r>
          </w:p>
          <w:p w:rsidR="00CA2061" w:rsidRPr="00B5705E" w:rsidRDefault="00963407" w:rsidP="00B5705E">
            <w:pPr>
              <w:spacing w:after="0" w:line="240" w:lineRule="auto"/>
              <w:jc w:val="both"/>
              <w:rPr>
                <w:rFonts w:ascii="Times New Roman" w:hAnsi="Times New Roman"/>
                <w:sz w:val="24"/>
                <w:szCs w:val="24"/>
              </w:rPr>
            </w:pPr>
            <w:r w:rsidRPr="00B5705E">
              <w:rPr>
                <w:rFonts w:ascii="Times New Roman" w:hAnsi="Times New Roman"/>
                <w:sz w:val="24"/>
                <w:szCs w:val="24"/>
              </w:rPr>
              <w:t>Esošo institūciju reorganizācija</w:t>
            </w:r>
          </w:p>
        </w:tc>
        <w:tc>
          <w:tcPr>
            <w:tcW w:w="4536" w:type="dxa"/>
          </w:tcPr>
          <w:p w:rsidR="00CA2061" w:rsidRPr="00B5705E" w:rsidRDefault="00E968C5" w:rsidP="00B5705E">
            <w:pPr>
              <w:spacing w:after="0" w:line="240" w:lineRule="auto"/>
              <w:jc w:val="both"/>
              <w:rPr>
                <w:rFonts w:ascii="Times New Roman" w:hAnsi="Times New Roman"/>
                <w:sz w:val="24"/>
                <w:szCs w:val="24"/>
              </w:rPr>
            </w:pPr>
            <w:r w:rsidRPr="00B5705E">
              <w:rPr>
                <w:rFonts w:ascii="Times New Roman" w:hAnsi="Times New Roman"/>
                <w:sz w:val="24"/>
                <w:szCs w:val="24"/>
              </w:rPr>
              <w:t>Nav attiecināms</w:t>
            </w:r>
            <w:r w:rsidR="00BD6B9E" w:rsidRPr="00B5705E">
              <w:rPr>
                <w:rFonts w:ascii="Times New Roman" w:hAnsi="Times New Roman"/>
                <w:sz w:val="24"/>
                <w:szCs w:val="24"/>
              </w:rPr>
              <w:t>.</w:t>
            </w:r>
          </w:p>
        </w:tc>
      </w:tr>
      <w:tr w:rsidR="00963407" w:rsidRPr="00B5705E" w:rsidTr="00CA2061">
        <w:tc>
          <w:tcPr>
            <w:tcW w:w="534" w:type="dxa"/>
          </w:tcPr>
          <w:p w:rsidR="00963407" w:rsidRPr="00B5705E" w:rsidRDefault="00963407" w:rsidP="00B5705E">
            <w:pPr>
              <w:spacing w:after="0" w:line="240" w:lineRule="auto"/>
              <w:jc w:val="both"/>
              <w:rPr>
                <w:rFonts w:ascii="Times New Roman" w:hAnsi="Times New Roman"/>
                <w:sz w:val="24"/>
                <w:szCs w:val="24"/>
              </w:rPr>
            </w:pPr>
            <w:r w:rsidRPr="00B5705E">
              <w:rPr>
                <w:rFonts w:ascii="Times New Roman" w:hAnsi="Times New Roman"/>
                <w:sz w:val="24"/>
                <w:szCs w:val="24"/>
              </w:rPr>
              <w:t>6.</w:t>
            </w:r>
          </w:p>
        </w:tc>
        <w:tc>
          <w:tcPr>
            <w:tcW w:w="4110" w:type="dxa"/>
          </w:tcPr>
          <w:p w:rsidR="00963407" w:rsidRPr="00B5705E" w:rsidRDefault="00963407" w:rsidP="00B5705E">
            <w:pPr>
              <w:spacing w:after="0" w:line="240" w:lineRule="auto"/>
              <w:jc w:val="both"/>
              <w:rPr>
                <w:rFonts w:ascii="Times New Roman" w:hAnsi="Times New Roman"/>
                <w:sz w:val="24"/>
                <w:szCs w:val="24"/>
              </w:rPr>
            </w:pPr>
            <w:r w:rsidRPr="00B5705E">
              <w:rPr>
                <w:rFonts w:ascii="Times New Roman" w:hAnsi="Times New Roman"/>
                <w:sz w:val="24"/>
                <w:szCs w:val="24"/>
              </w:rPr>
              <w:t>Cita informācija</w:t>
            </w:r>
          </w:p>
        </w:tc>
        <w:tc>
          <w:tcPr>
            <w:tcW w:w="4536" w:type="dxa"/>
          </w:tcPr>
          <w:p w:rsidR="00963407" w:rsidRPr="00B5705E" w:rsidRDefault="00963407" w:rsidP="005B2CB4">
            <w:pPr>
              <w:spacing w:after="0" w:line="240" w:lineRule="auto"/>
              <w:jc w:val="both"/>
              <w:rPr>
                <w:rFonts w:ascii="Times New Roman" w:hAnsi="Times New Roman"/>
                <w:sz w:val="24"/>
                <w:szCs w:val="24"/>
              </w:rPr>
            </w:pPr>
            <w:r w:rsidRPr="00B5705E">
              <w:rPr>
                <w:rFonts w:ascii="Times New Roman" w:hAnsi="Times New Roman"/>
                <w:sz w:val="24"/>
                <w:szCs w:val="24"/>
              </w:rPr>
              <w:t>Nav</w:t>
            </w:r>
          </w:p>
        </w:tc>
      </w:tr>
    </w:tbl>
    <w:p w:rsidR="00CE2AF1" w:rsidRPr="00B5705E" w:rsidRDefault="00CE2AF1" w:rsidP="00B5705E">
      <w:pPr>
        <w:spacing w:after="0" w:line="240" w:lineRule="auto"/>
        <w:jc w:val="both"/>
        <w:rPr>
          <w:rFonts w:ascii="Times New Roman" w:hAnsi="Times New Roman"/>
          <w:sz w:val="24"/>
          <w:szCs w:val="24"/>
        </w:rPr>
      </w:pPr>
    </w:p>
    <w:p w:rsidR="00451AF7" w:rsidRPr="00443376" w:rsidRDefault="00BD6B9E" w:rsidP="00B5705E">
      <w:pPr>
        <w:tabs>
          <w:tab w:val="left" w:pos="6255"/>
        </w:tabs>
        <w:spacing w:after="0" w:line="240" w:lineRule="auto"/>
        <w:jc w:val="both"/>
        <w:rPr>
          <w:rFonts w:ascii="Times New Roman" w:hAnsi="Times New Roman"/>
          <w:sz w:val="28"/>
          <w:szCs w:val="28"/>
        </w:rPr>
      </w:pPr>
      <w:r w:rsidRPr="00443376">
        <w:rPr>
          <w:rFonts w:ascii="Times New Roman" w:hAnsi="Times New Roman"/>
          <w:sz w:val="28"/>
          <w:szCs w:val="28"/>
        </w:rPr>
        <w:t>V</w:t>
      </w:r>
      <w:r w:rsidR="00451AF7" w:rsidRPr="00443376">
        <w:rPr>
          <w:rFonts w:ascii="Times New Roman" w:hAnsi="Times New Roman"/>
          <w:sz w:val="28"/>
          <w:szCs w:val="28"/>
        </w:rPr>
        <w:t>eselības ministr</w:t>
      </w:r>
      <w:r w:rsidRPr="00443376">
        <w:rPr>
          <w:rFonts w:ascii="Times New Roman" w:hAnsi="Times New Roman"/>
          <w:sz w:val="28"/>
          <w:szCs w:val="28"/>
        </w:rPr>
        <w:t>s</w:t>
      </w:r>
      <w:r w:rsidR="00451AF7" w:rsidRPr="00443376">
        <w:rPr>
          <w:rFonts w:ascii="Times New Roman" w:hAnsi="Times New Roman"/>
          <w:sz w:val="28"/>
          <w:szCs w:val="28"/>
        </w:rPr>
        <w:t xml:space="preserve"> </w:t>
      </w:r>
      <w:r w:rsidRPr="00443376">
        <w:rPr>
          <w:rFonts w:ascii="Times New Roman" w:hAnsi="Times New Roman"/>
          <w:sz w:val="28"/>
          <w:szCs w:val="28"/>
        </w:rPr>
        <w:tab/>
      </w:r>
      <w:proofErr w:type="spellStart"/>
      <w:r w:rsidR="008231E4">
        <w:rPr>
          <w:rFonts w:ascii="Times New Roman" w:hAnsi="Times New Roman"/>
          <w:sz w:val="28"/>
          <w:szCs w:val="28"/>
        </w:rPr>
        <w:t>J.Bārzdiņš</w:t>
      </w:r>
      <w:proofErr w:type="spellEnd"/>
    </w:p>
    <w:p w:rsidR="00AB031A" w:rsidRPr="00B5705E" w:rsidRDefault="00AB031A" w:rsidP="00B5705E">
      <w:pPr>
        <w:spacing w:after="0" w:line="240" w:lineRule="auto"/>
        <w:jc w:val="both"/>
        <w:rPr>
          <w:rFonts w:ascii="Times New Roman" w:hAnsi="Times New Roman"/>
          <w:sz w:val="24"/>
          <w:szCs w:val="24"/>
        </w:rPr>
      </w:pPr>
    </w:p>
    <w:p w:rsidR="00AB031A" w:rsidRPr="00B5705E" w:rsidRDefault="00AB031A" w:rsidP="00B5705E">
      <w:pPr>
        <w:spacing w:after="0" w:line="240" w:lineRule="auto"/>
        <w:jc w:val="both"/>
        <w:rPr>
          <w:rFonts w:ascii="Times New Roman" w:hAnsi="Times New Roman"/>
          <w:sz w:val="24"/>
          <w:szCs w:val="24"/>
        </w:rPr>
      </w:pPr>
    </w:p>
    <w:p w:rsidR="008231E4" w:rsidRDefault="008231E4" w:rsidP="00B5705E">
      <w:pPr>
        <w:spacing w:after="0" w:line="240" w:lineRule="auto"/>
        <w:jc w:val="both"/>
        <w:rPr>
          <w:rFonts w:ascii="Times New Roman" w:hAnsi="Times New Roman"/>
          <w:sz w:val="20"/>
          <w:szCs w:val="20"/>
        </w:rPr>
      </w:pPr>
    </w:p>
    <w:p w:rsidR="001946C1" w:rsidRDefault="001946C1" w:rsidP="00B5705E">
      <w:pPr>
        <w:spacing w:after="0" w:line="240" w:lineRule="auto"/>
        <w:jc w:val="both"/>
        <w:rPr>
          <w:rFonts w:ascii="Times New Roman" w:hAnsi="Times New Roman"/>
          <w:sz w:val="20"/>
          <w:szCs w:val="20"/>
        </w:rPr>
      </w:pPr>
    </w:p>
    <w:p w:rsidR="001946C1" w:rsidRDefault="001946C1" w:rsidP="00B5705E">
      <w:pPr>
        <w:spacing w:after="0" w:line="240" w:lineRule="auto"/>
        <w:jc w:val="both"/>
        <w:rPr>
          <w:rFonts w:ascii="Times New Roman" w:hAnsi="Times New Roman"/>
          <w:sz w:val="20"/>
          <w:szCs w:val="20"/>
        </w:rPr>
      </w:pPr>
    </w:p>
    <w:p w:rsidR="00CE2AF1" w:rsidRPr="00443376" w:rsidRDefault="006C743A" w:rsidP="00B5705E">
      <w:pPr>
        <w:spacing w:after="0" w:line="240" w:lineRule="auto"/>
        <w:jc w:val="both"/>
        <w:rPr>
          <w:rFonts w:ascii="Times New Roman" w:hAnsi="Times New Roman"/>
          <w:sz w:val="20"/>
          <w:szCs w:val="20"/>
        </w:rPr>
      </w:pPr>
      <w:r>
        <w:rPr>
          <w:rFonts w:ascii="Times New Roman" w:hAnsi="Times New Roman"/>
          <w:sz w:val="20"/>
          <w:szCs w:val="20"/>
        </w:rPr>
        <w:t>26.11.2010 12:58</w:t>
      </w:r>
    </w:p>
    <w:p w:rsidR="000762A9" w:rsidRDefault="00B06F56" w:rsidP="00B5705E">
      <w:pPr>
        <w:spacing w:after="0" w:line="240" w:lineRule="auto"/>
        <w:jc w:val="both"/>
        <w:rPr>
          <w:rFonts w:ascii="Times New Roman" w:hAnsi="Times New Roman"/>
          <w:sz w:val="20"/>
          <w:szCs w:val="20"/>
        </w:rPr>
      </w:pPr>
      <w:r>
        <w:rPr>
          <w:rFonts w:ascii="Times New Roman" w:hAnsi="Times New Roman"/>
          <w:sz w:val="20"/>
          <w:szCs w:val="20"/>
        </w:rPr>
        <w:t>10</w:t>
      </w:r>
      <w:r w:rsidR="001946C1">
        <w:rPr>
          <w:rFonts w:ascii="Times New Roman" w:hAnsi="Times New Roman"/>
          <w:sz w:val="20"/>
          <w:szCs w:val="20"/>
        </w:rPr>
        <w:t>47</w:t>
      </w:r>
    </w:p>
    <w:p w:rsidR="00CE2AF1" w:rsidRPr="00443376" w:rsidRDefault="00CE2AF1" w:rsidP="00B5705E">
      <w:pPr>
        <w:spacing w:after="0" w:line="240" w:lineRule="auto"/>
        <w:jc w:val="both"/>
        <w:rPr>
          <w:rFonts w:ascii="Times New Roman" w:hAnsi="Times New Roman"/>
          <w:sz w:val="20"/>
          <w:szCs w:val="20"/>
        </w:rPr>
      </w:pPr>
      <w:proofErr w:type="spellStart"/>
      <w:r w:rsidRPr="00443376">
        <w:rPr>
          <w:rFonts w:ascii="Times New Roman" w:hAnsi="Times New Roman"/>
          <w:sz w:val="20"/>
          <w:szCs w:val="20"/>
        </w:rPr>
        <w:t>D.Viļuma</w:t>
      </w:r>
      <w:proofErr w:type="spellEnd"/>
      <w:r w:rsidRPr="00443376">
        <w:rPr>
          <w:rFonts w:ascii="Times New Roman" w:hAnsi="Times New Roman"/>
          <w:sz w:val="20"/>
          <w:szCs w:val="20"/>
        </w:rPr>
        <w:t>, 67876080</w:t>
      </w:r>
    </w:p>
    <w:p w:rsidR="00D537E1" w:rsidRPr="00443376" w:rsidRDefault="00CE2AF1" w:rsidP="00B5705E">
      <w:pPr>
        <w:spacing w:after="0" w:line="240" w:lineRule="auto"/>
        <w:jc w:val="both"/>
        <w:rPr>
          <w:rFonts w:ascii="Times New Roman" w:hAnsi="Times New Roman"/>
          <w:sz w:val="20"/>
          <w:szCs w:val="20"/>
        </w:rPr>
      </w:pPr>
      <w:r w:rsidRPr="00443376">
        <w:rPr>
          <w:rFonts w:ascii="Times New Roman" w:hAnsi="Times New Roman"/>
          <w:sz w:val="20"/>
          <w:szCs w:val="20"/>
        </w:rPr>
        <w:t>Dace.viluma@vm.gov.lv</w:t>
      </w:r>
    </w:p>
    <w:sectPr w:rsidR="00D537E1" w:rsidRPr="00443376" w:rsidSect="00443376">
      <w:headerReference w:type="default" r:id="rId8"/>
      <w:footerReference w:type="default" r:id="rId9"/>
      <w:footerReference w:type="first" r:id="rId10"/>
      <w:pgSz w:w="11906" w:h="16838"/>
      <w:pgMar w:top="1440" w:right="1800" w:bottom="1276" w:left="1800"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64B" w:rsidRDefault="0088064B" w:rsidP="00CE2AF1">
      <w:pPr>
        <w:spacing w:after="0" w:line="240" w:lineRule="auto"/>
      </w:pPr>
      <w:r>
        <w:separator/>
      </w:r>
    </w:p>
  </w:endnote>
  <w:endnote w:type="continuationSeparator" w:id="0">
    <w:p w:rsidR="0088064B" w:rsidRDefault="0088064B" w:rsidP="00CE2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4B" w:rsidRPr="00443376" w:rsidRDefault="0088064B" w:rsidP="00443376">
    <w:pPr>
      <w:spacing w:after="0" w:line="240" w:lineRule="auto"/>
      <w:jc w:val="both"/>
      <w:rPr>
        <w:rFonts w:ascii="Times New Roman" w:hAnsi="Times New Roman"/>
        <w:sz w:val="24"/>
        <w:szCs w:val="24"/>
      </w:rPr>
    </w:pPr>
    <w:bookmarkStart w:id="0" w:name="OLE_LINK1"/>
    <w:bookmarkStart w:id="1" w:name="OLE_LINK2"/>
    <w:r>
      <w:rPr>
        <w:rFonts w:ascii="Times New Roman" w:hAnsi="Times New Roman"/>
        <w:sz w:val="24"/>
        <w:szCs w:val="24"/>
      </w:rPr>
      <w:t>V</w:t>
    </w:r>
    <w:r w:rsidRPr="00443376">
      <w:rPr>
        <w:rFonts w:ascii="Times New Roman" w:hAnsi="Times New Roman"/>
        <w:sz w:val="24"/>
        <w:szCs w:val="24"/>
      </w:rPr>
      <w:t>Manot_</w:t>
    </w:r>
    <w:r>
      <w:rPr>
        <w:rFonts w:ascii="Times New Roman" w:hAnsi="Times New Roman"/>
        <w:sz w:val="24"/>
        <w:szCs w:val="24"/>
      </w:rPr>
      <w:t>2</w:t>
    </w:r>
    <w:r w:rsidR="00253CF8">
      <w:rPr>
        <w:rFonts w:ascii="Times New Roman" w:hAnsi="Times New Roman"/>
        <w:sz w:val="24"/>
        <w:szCs w:val="24"/>
      </w:rPr>
      <w:t>6</w:t>
    </w:r>
    <w:r>
      <w:rPr>
        <w:rFonts w:ascii="Times New Roman" w:hAnsi="Times New Roman"/>
        <w:sz w:val="24"/>
        <w:szCs w:val="24"/>
      </w:rPr>
      <w:t>11</w:t>
    </w:r>
    <w:r w:rsidRPr="00443376">
      <w:rPr>
        <w:rFonts w:ascii="Times New Roman" w:hAnsi="Times New Roman"/>
        <w:sz w:val="24"/>
        <w:szCs w:val="24"/>
      </w:rPr>
      <w:t xml:space="preserve">10_vakcina; </w:t>
    </w:r>
    <w:bookmarkStart w:id="2" w:name="OLE_LINK5"/>
    <w:bookmarkStart w:id="3" w:name="OLE_LINK6"/>
    <w:r w:rsidRPr="00443376">
      <w:rPr>
        <w:rFonts w:ascii="Times New Roman" w:hAnsi="Times New Roman"/>
        <w:sz w:val="24"/>
        <w:szCs w:val="24"/>
      </w:rPr>
      <w:t>anotācija Ministru kabineta noteikumu projektam „„Grozījumi Ministru kabineta 2000.gada 26.septembra noteikumos Nr. 330 „Vakcinācijas noteikumi””</w:t>
    </w:r>
  </w:p>
  <w:bookmarkEnd w:id="2"/>
  <w:bookmarkEnd w:id="3"/>
  <w:p w:rsidR="0088064B" w:rsidRPr="00443376" w:rsidRDefault="0088064B" w:rsidP="00443376">
    <w:pPr>
      <w:pStyle w:val="Footer"/>
      <w:jc w:val="both"/>
      <w:rPr>
        <w:lang w:val="lv-LV"/>
      </w:rPr>
    </w:pPr>
  </w:p>
  <w:p w:rsidR="0088064B" w:rsidRPr="00443376" w:rsidRDefault="0088064B" w:rsidP="00644E26">
    <w:pPr>
      <w:pStyle w:val="Footer"/>
      <w:rPr>
        <w:rFonts w:eastAsia="Calibri"/>
        <w:sz w:val="20"/>
        <w:szCs w:val="20"/>
        <w:lang w:val="lv-LV"/>
      </w:rPr>
    </w:pPr>
  </w:p>
  <w:p w:rsidR="0088064B" w:rsidRPr="00443376" w:rsidRDefault="0088064B" w:rsidP="00644E26">
    <w:pPr>
      <w:pStyle w:val="Footer"/>
      <w:rPr>
        <w:lang w:val="lv-LV"/>
      </w:rPr>
    </w:pPr>
  </w:p>
  <w:bookmarkEnd w:id="0"/>
  <w:bookmarkEnd w:id="1"/>
  <w:p w:rsidR="0088064B" w:rsidRPr="00443376" w:rsidRDefault="0088064B">
    <w:pPr>
      <w:pStyle w:val="Footer"/>
      <w:rPr>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4B" w:rsidRPr="00443376" w:rsidRDefault="0088064B" w:rsidP="00443376">
    <w:pPr>
      <w:spacing w:after="0" w:line="240" w:lineRule="auto"/>
      <w:jc w:val="both"/>
      <w:rPr>
        <w:rFonts w:ascii="Times New Roman" w:hAnsi="Times New Roman"/>
        <w:sz w:val="24"/>
        <w:szCs w:val="24"/>
      </w:rPr>
    </w:pPr>
    <w:r w:rsidRPr="00443376">
      <w:rPr>
        <w:rFonts w:ascii="Times New Roman" w:hAnsi="Times New Roman"/>
        <w:sz w:val="24"/>
        <w:szCs w:val="24"/>
      </w:rPr>
      <w:t>VManot_</w:t>
    </w:r>
    <w:r>
      <w:rPr>
        <w:rFonts w:ascii="Times New Roman" w:hAnsi="Times New Roman"/>
        <w:sz w:val="24"/>
        <w:szCs w:val="24"/>
      </w:rPr>
      <w:t>2</w:t>
    </w:r>
    <w:r w:rsidR="00253CF8">
      <w:rPr>
        <w:rFonts w:ascii="Times New Roman" w:hAnsi="Times New Roman"/>
        <w:sz w:val="24"/>
        <w:szCs w:val="24"/>
      </w:rPr>
      <w:t>6</w:t>
    </w:r>
    <w:r>
      <w:rPr>
        <w:rFonts w:ascii="Times New Roman" w:hAnsi="Times New Roman"/>
        <w:sz w:val="24"/>
        <w:szCs w:val="24"/>
      </w:rPr>
      <w:t>11</w:t>
    </w:r>
    <w:r w:rsidRPr="00443376">
      <w:rPr>
        <w:rFonts w:ascii="Times New Roman" w:hAnsi="Times New Roman"/>
        <w:sz w:val="24"/>
        <w:szCs w:val="24"/>
      </w:rPr>
      <w:t xml:space="preserve">10_vakcina; </w:t>
    </w:r>
    <w:bookmarkStart w:id="4" w:name="OLE_LINK3"/>
    <w:bookmarkStart w:id="5" w:name="OLE_LINK4"/>
    <w:r w:rsidRPr="00443376">
      <w:rPr>
        <w:rFonts w:ascii="Times New Roman" w:hAnsi="Times New Roman"/>
        <w:sz w:val="24"/>
        <w:szCs w:val="24"/>
      </w:rPr>
      <w:t>anotācija Ministru kabineta noteikumu projektam „</w:t>
    </w:r>
    <w:bookmarkEnd w:id="4"/>
    <w:bookmarkEnd w:id="5"/>
    <w:r w:rsidRPr="00443376">
      <w:rPr>
        <w:rFonts w:ascii="Times New Roman" w:hAnsi="Times New Roman"/>
        <w:sz w:val="24"/>
        <w:szCs w:val="24"/>
      </w:rPr>
      <w:t>„Grozījumi Ministru kabineta 2000.gada 26.septembra noteikumos Nr. 330 „Vakcinācijas noteikumi””</w:t>
    </w:r>
  </w:p>
  <w:p w:rsidR="0088064B" w:rsidRPr="00443376" w:rsidRDefault="0088064B" w:rsidP="00443376">
    <w:pPr>
      <w:pStyle w:val="Footer"/>
      <w:jc w:val="both"/>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64B" w:rsidRDefault="0088064B" w:rsidP="00CE2AF1">
      <w:pPr>
        <w:spacing w:after="0" w:line="240" w:lineRule="auto"/>
      </w:pPr>
      <w:r>
        <w:separator/>
      </w:r>
    </w:p>
  </w:footnote>
  <w:footnote w:type="continuationSeparator" w:id="0">
    <w:p w:rsidR="0088064B" w:rsidRDefault="0088064B" w:rsidP="00CE2A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9190"/>
      <w:docPartObj>
        <w:docPartGallery w:val="Page Numbers (Top of Page)"/>
        <w:docPartUnique/>
      </w:docPartObj>
    </w:sdtPr>
    <w:sdtContent>
      <w:p w:rsidR="0088064B" w:rsidRDefault="005A4FC8">
        <w:pPr>
          <w:pStyle w:val="Header"/>
          <w:jc w:val="center"/>
        </w:pPr>
        <w:fldSimple w:instr=" PAGE   \* MERGEFORMAT ">
          <w:r w:rsidR="006C743A">
            <w:rPr>
              <w:noProof/>
            </w:rPr>
            <w:t>4</w:t>
          </w:r>
        </w:fldSimple>
      </w:p>
    </w:sdtContent>
  </w:sdt>
  <w:p w:rsidR="0088064B" w:rsidRDefault="008806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4EAC"/>
    <w:multiLevelType w:val="hybridMultilevel"/>
    <w:tmpl w:val="4AFE7B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822229"/>
    <w:multiLevelType w:val="hybridMultilevel"/>
    <w:tmpl w:val="40D811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78F602E"/>
    <w:multiLevelType w:val="multilevel"/>
    <w:tmpl w:val="86B2D97A"/>
    <w:lvl w:ilvl="0">
      <w:start w:val="1"/>
      <w:numFmt w:val="decimal"/>
      <w:lvlText w:val="%1."/>
      <w:lvlJc w:val="left"/>
      <w:pPr>
        <w:ind w:left="360" w:hanging="360"/>
      </w:pPr>
      <w:rPr>
        <w:rFonts w:hint="default"/>
      </w:rPr>
    </w:lvl>
    <w:lvl w:ilvl="1">
      <w:start w:val="1"/>
      <w:numFmt w:val="decimal"/>
      <w:isLgl/>
      <w:lvlText w:val="%1.%2."/>
      <w:lvlJc w:val="left"/>
      <w:pPr>
        <w:ind w:left="1004"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3">
    <w:nsid w:val="300E4AF4"/>
    <w:multiLevelType w:val="hybridMultilevel"/>
    <w:tmpl w:val="12AEFE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576F18"/>
    <w:multiLevelType w:val="hybridMultilevel"/>
    <w:tmpl w:val="56EE72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2866908"/>
    <w:multiLevelType w:val="hybridMultilevel"/>
    <w:tmpl w:val="FAF04C46"/>
    <w:lvl w:ilvl="0" w:tplc="0426000F">
      <w:start w:val="1"/>
      <w:numFmt w:val="decimal"/>
      <w:lvlText w:val="%1."/>
      <w:lvlJc w:val="left"/>
      <w:pPr>
        <w:ind w:left="4188" w:hanging="360"/>
      </w:pPr>
      <w:rPr>
        <w:rFonts w:hint="default"/>
      </w:rPr>
    </w:lvl>
    <w:lvl w:ilvl="1" w:tplc="04260019" w:tentative="1">
      <w:start w:val="1"/>
      <w:numFmt w:val="lowerLetter"/>
      <w:lvlText w:val="%2."/>
      <w:lvlJc w:val="left"/>
      <w:pPr>
        <w:ind w:left="4908" w:hanging="360"/>
      </w:pPr>
    </w:lvl>
    <w:lvl w:ilvl="2" w:tplc="0426001B" w:tentative="1">
      <w:start w:val="1"/>
      <w:numFmt w:val="lowerRoman"/>
      <w:lvlText w:val="%3."/>
      <w:lvlJc w:val="right"/>
      <w:pPr>
        <w:ind w:left="5628" w:hanging="180"/>
      </w:pPr>
    </w:lvl>
    <w:lvl w:ilvl="3" w:tplc="0426000F" w:tentative="1">
      <w:start w:val="1"/>
      <w:numFmt w:val="decimal"/>
      <w:lvlText w:val="%4."/>
      <w:lvlJc w:val="left"/>
      <w:pPr>
        <w:ind w:left="6348" w:hanging="360"/>
      </w:pPr>
    </w:lvl>
    <w:lvl w:ilvl="4" w:tplc="04260019" w:tentative="1">
      <w:start w:val="1"/>
      <w:numFmt w:val="lowerLetter"/>
      <w:lvlText w:val="%5."/>
      <w:lvlJc w:val="left"/>
      <w:pPr>
        <w:ind w:left="7068" w:hanging="360"/>
      </w:pPr>
    </w:lvl>
    <w:lvl w:ilvl="5" w:tplc="0426001B" w:tentative="1">
      <w:start w:val="1"/>
      <w:numFmt w:val="lowerRoman"/>
      <w:lvlText w:val="%6."/>
      <w:lvlJc w:val="right"/>
      <w:pPr>
        <w:ind w:left="7788" w:hanging="180"/>
      </w:pPr>
    </w:lvl>
    <w:lvl w:ilvl="6" w:tplc="0426000F" w:tentative="1">
      <w:start w:val="1"/>
      <w:numFmt w:val="decimal"/>
      <w:lvlText w:val="%7."/>
      <w:lvlJc w:val="left"/>
      <w:pPr>
        <w:ind w:left="8508" w:hanging="360"/>
      </w:pPr>
    </w:lvl>
    <w:lvl w:ilvl="7" w:tplc="04260019" w:tentative="1">
      <w:start w:val="1"/>
      <w:numFmt w:val="lowerLetter"/>
      <w:lvlText w:val="%8."/>
      <w:lvlJc w:val="left"/>
      <w:pPr>
        <w:ind w:left="9228" w:hanging="360"/>
      </w:pPr>
    </w:lvl>
    <w:lvl w:ilvl="8" w:tplc="0426001B" w:tentative="1">
      <w:start w:val="1"/>
      <w:numFmt w:val="lowerRoman"/>
      <w:lvlText w:val="%9."/>
      <w:lvlJc w:val="right"/>
      <w:pPr>
        <w:ind w:left="9948" w:hanging="180"/>
      </w:pPr>
    </w:lvl>
  </w:abstractNum>
  <w:abstractNum w:abstractNumId="6">
    <w:nsid w:val="6AED48DF"/>
    <w:multiLevelType w:val="hybridMultilevel"/>
    <w:tmpl w:val="78C486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E2AF1"/>
    <w:rsid w:val="00035A9C"/>
    <w:rsid w:val="00035B2F"/>
    <w:rsid w:val="000432D6"/>
    <w:rsid w:val="000458ED"/>
    <w:rsid w:val="00053A38"/>
    <w:rsid w:val="0005639E"/>
    <w:rsid w:val="0006216A"/>
    <w:rsid w:val="000762A9"/>
    <w:rsid w:val="00083EDE"/>
    <w:rsid w:val="00094949"/>
    <w:rsid w:val="000A596F"/>
    <w:rsid w:val="000A6474"/>
    <w:rsid w:val="000B6691"/>
    <w:rsid w:val="000B6A58"/>
    <w:rsid w:val="000C25D7"/>
    <w:rsid w:val="000D08F1"/>
    <w:rsid w:val="000F1D50"/>
    <w:rsid w:val="000F25A4"/>
    <w:rsid w:val="000F49E2"/>
    <w:rsid w:val="001203A9"/>
    <w:rsid w:val="001279A3"/>
    <w:rsid w:val="00130FA2"/>
    <w:rsid w:val="00131C97"/>
    <w:rsid w:val="0014419F"/>
    <w:rsid w:val="00144520"/>
    <w:rsid w:val="001461B6"/>
    <w:rsid w:val="001515A4"/>
    <w:rsid w:val="001600AF"/>
    <w:rsid w:val="00162C76"/>
    <w:rsid w:val="001632CA"/>
    <w:rsid w:val="001705EA"/>
    <w:rsid w:val="00177E3C"/>
    <w:rsid w:val="0018103C"/>
    <w:rsid w:val="00181EC4"/>
    <w:rsid w:val="00183230"/>
    <w:rsid w:val="00185E5D"/>
    <w:rsid w:val="001946C1"/>
    <w:rsid w:val="001A01E9"/>
    <w:rsid w:val="001C539E"/>
    <w:rsid w:val="001D2403"/>
    <w:rsid w:val="001D6487"/>
    <w:rsid w:val="001E4A66"/>
    <w:rsid w:val="001F59FB"/>
    <w:rsid w:val="002010A6"/>
    <w:rsid w:val="00222397"/>
    <w:rsid w:val="002303BD"/>
    <w:rsid w:val="00233260"/>
    <w:rsid w:val="00253CF8"/>
    <w:rsid w:val="0025544C"/>
    <w:rsid w:val="002631D0"/>
    <w:rsid w:val="002707CE"/>
    <w:rsid w:val="00282200"/>
    <w:rsid w:val="00283BDD"/>
    <w:rsid w:val="00285C01"/>
    <w:rsid w:val="0029424C"/>
    <w:rsid w:val="00297902"/>
    <w:rsid w:val="002A5203"/>
    <w:rsid w:val="002C1509"/>
    <w:rsid w:val="002C2013"/>
    <w:rsid w:val="002C20E2"/>
    <w:rsid w:val="002C27F7"/>
    <w:rsid w:val="002C51A5"/>
    <w:rsid w:val="002C7575"/>
    <w:rsid w:val="002D646C"/>
    <w:rsid w:val="002E73BA"/>
    <w:rsid w:val="002E7C2D"/>
    <w:rsid w:val="002F65EA"/>
    <w:rsid w:val="00311805"/>
    <w:rsid w:val="00311BBB"/>
    <w:rsid w:val="003204FD"/>
    <w:rsid w:val="00322BB7"/>
    <w:rsid w:val="003251DF"/>
    <w:rsid w:val="0032788D"/>
    <w:rsid w:val="003327FE"/>
    <w:rsid w:val="00337AC8"/>
    <w:rsid w:val="0034092A"/>
    <w:rsid w:val="003469E6"/>
    <w:rsid w:val="0034704C"/>
    <w:rsid w:val="0035104B"/>
    <w:rsid w:val="00370BDF"/>
    <w:rsid w:val="0037794C"/>
    <w:rsid w:val="00386E45"/>
    <w:rsid w:val="00391C14"/>
    <w:rsid w:val="003921AC"/>
    <w:rsid w:val="00392A40"/>
    <w:rsid w:val="00394113"/>
    <w:rsid w:val="003A10E6"/>
    <w:rsid w:val="003A7F80"/>
    <w:rsid w:val="003D6AF5"/>
    <w:rsid w:val="003D760F"/>
    <w:rsid w:val="003E1E46"/>
    <w:rsid w:val="003E68FC"/>
    <w:rsid w:val="003F33CF"/>
    <w:rsid w:val="00404EB4"/>
    <w:rsid w:val="0041003D"/>
    <w:rsid w:val="00410C75"/>
    <w:rsid w:val="00420824"/>
    <w:rsid w:val="0042257E"/>
    <w:rsid w:val="0042447A"/>
    <w:rsid w:val="00441826"/>
    <w:rsid w:val="00443376"/>
    <w:rsid w:val="00451448"/>
    <w:rsid w:val="00451AF7"/>
    <w:rsid w:val="00457ABE"/>
    <w:rsid w:val="00457F4B"/>
    <w:rsid w:val="0046022D"/>
    <w:rsid w:val="00463285"/>
    <w:rsid w:val="00472F20"/>
    <w:rsid w:val="00475BD7"/>
    <w:rsid w:val="004834BC"/>
    <w:rsid w:val="00491D02"/>
    <w:rsid w:val="004A0310"/>
    <w:rsid w:val="004A59BF"/>
    <w:rsid w:val="004C2ABB"/>
    <w:rsid w:val="004D3CB4"/>
    <w:rsid w:val="004E6223"/>
    <w:rsid w:val="004E62E1"/>
    <w:rsid w:val="004E7A02"/>
    <w:rsid w:val="004E7E40"/>
    <w:rsid w:val="00502374"/>
    <w:rsid w:val="00502F5C"/>
    <w:rsid w:val="00503B62"/>
    <w:rsid w:val="00504F5B"/>
    <w:rsid w:val="00504FFE"/>
    <w:rsid w:val="00507592"/>
    <w:rsid w:val="005165EE"/>
    <w:rsid w:val="00525527"/>
    <w:rsid w:val="0053193D"/>
    <w:rsid w:val="00532CAC"/>
    <w:rsid w:val="0053671C"/>
    <w:rsid w:val="0054025C"/>
    <w:rsid w:val="00544C62"/>
    <w:rsid w:val="00551E84"/>
    <w:rsid w:val="00553076"/>
    <w:rsid w:val="00564A68"/>
    <w:rsid w:val="00573AF6"/>
    <w:rsid w:val="005806CA"/>
    <w:rsid w:val="00597E35"/>
    <w:rsid w:val="005A1559"/>
    <w:rsid w:val="005A1E0E"/>
    <w:rsid w:val="005A4FC8"/>
    <w:rsid w:val="005A5CC0"/>
    <w:rsid w:val="005B2CB4"/>
    <w:rsid w:val="005B3E7C"/>
    <w:rsid w:val="005C75A0"/>
    <w:rsid w:val="005C7F59"/>
    <w:rsid w:val="005F1337"/>
    <w:rsid w:val="005F138E"/>
    <w:rsid w:val="005F302A"/>
    <w:rsid w:val="005F5F30"/>
    <w:rsid w:val="00602D2E"/>
    <w:rsid w:val="00603437"/>
    <w:rsid w:val="00603EE3"/>
    <w:rsid w:val="00605C43"/>
    <w:rsid w:val="00621569"/>
    <w:rsid w:val="00627AA8"/>
    <w:rsid w:val="0063686B"/>
    <w:rsid w:val="00644BF4"/>
    <w:rsid w:val="00644E26"/>
    <w:rsid w:val="006474AA"/>
    <w:rsid w:val="006632DF"/>
    <w:rsid w:val="00677483"/>
    <w:rsid w:val="006842B8"/>
    <w:rsid w:val="00691790"/>
    <w:rsid w:val="00692407"/>
    <w:rsid w:val="006A02B5"/>
    <w:rsid w:val="006C6EE1"/>
    <w:rsid w:val="006C743A"/>
    <w:rsid w:val="006D07C3"/>
    <w:rsid w:val="006E12B6"/>
    <w:rsid w:val="006E2D07"/>
    <w:rsid w:val="006F054C"/>
    <w:rsid w:val="006F1D61"/>
    <w:rsid w:val="006F2296"/>
    <w:rsid w:val="006F301F"/>
    <w:rsid w:val="007003D8"/>
    <w:rsid w:val="0070369D"/>
    <w:rsid w:val="00704373"/>
    <w:rsid w:val="00713EE8"/>
    <w:rsid w:val="007145BE"/>
    <w:rsid w:val="007155C0"/>
    <w:rsid w:val="00720F77"/>
    <w:rsid w:val="00723F9E"/>
    <w:rsid w:val="007447C3"/>
    <w:rsid w:val="007527A1"/>
    <w:rsid w:val="007547B0"/>
    <w:rsid w:val="00757419"/>
    <w:rsid w:val="007663B8"/>
    <w:rsid w:val="0076680F"/>
    <w:rsid w:val="00775E0F"/>
    <w:rsid w:val="007825C0"/>
    <w:rsid w:val="00790EE1"/>
    <w:rsid w:val="007B09B3"/>
    <w:rsid w:val="007B32E9"/>
    <w:rsid w:val="007C2CCE"/>
    <w:rsid w:val="007C494E"/>
    <w:rsid w:val="007C5856"/>
    <w:rsid w:val="007C616E"/>
    <w:rsid w:val="007E63E2"/>
    <w:rsid w:val="007E6DC3"/>
    <w:rsid w:val="007F0459"/>
    <w:rsid w:val="007F1F6D"/>
    <w:rsid w:val="007F5197"/>
    <w:rsid w:val="008041D6"/>
    <w:rsid w:val="00810173"/>
    <w:rsid w:val="00815557"/>
    <w:rsid w:val="008231E4"/>
    <w:rsid w:val="00824A1A"/>
    <w:rsid w:val="00842122"/>
    <w:rsid w:val="00843C86"/>
    <w:rsid w:val="00854502"/>
    <w:rsid w:val="0085733A"/>
    <w:rsid w:val="008600B7"/>
    <w:rsid w:val="008626B3"/>
    <w:rsid w:val="00863B6C"/>
    <w:rsid w:val="00870C0E"/>
    <w:rsid w:val="0088064B"/>
    <w:rsid w:val="0089144F"/>
    <w:rsid w:val="00892894"/>
    <w:rsid w:val="00892CE7"/>
    <w:rsid w:val="008B2FBD"/>
    <w:rsid w:val="008C4070"/>
    <w:rsid w:val="008C68D4"/>
    <w:rsid w:val="008D650F"/>
    <w:rsid w:val="008E2C4A"/>
    <w:rsid w:val="008E40ED"/>
    <w:rsid w:val="00945A3E"/>
    <w:rsid w:val="00951688"/>
    <w:rsid w:val="00963407"/>
    <w:rsid w:val="0096471F"/>
    <w:rsid w:val="0096665A"/>
    <w:rsid w:val="009706E8"/>
    <w:rsid w:val="00976C32"/>
    <w:rsid w:val="00984412"/>
    <w:rsid w:val="0099089F"/>
    <w:rsid w:val="009C212F"/>
    <w:rsid w:val="009F77C6"/>
    <w:rsid w:val="009F77E4"/>
    <w:rsid w:val="00A00541"/>
    <w:rsid w:val="00A01013"/>
    <w:rsid w:val="00A036F9"/>
    <w:rsid w:val="00A131CA"/>
    <w:rsid w:val="00A142F7"/>
    <w:rsid w:val="00A27765"/>
    <w:rsid w:val="00A440AA"/>
    <w:rsid w:val="00A462CE"/>
    <w:rsid w:val="00A46F37"/>
    <w:rsid w:val="00A51925"/>
    <w:rsid w:val="00A52311"/>
    <w:rsid w:val="00A65A7D"/>
    <w:rsid w:val="00A66C72"/>
    <w:rsid w:val="00A70A91"/>
    <w:rsid w:val="00A7118D"/>
    <w:rsid w:val="00A74745"/>
    <w:rsid w:val="00A775E1"/>
    <w:rsid w:val="00A8341E"/>
    <w:rsid w:val="00A83FDB"/>
    <w:rsid w:val="00A87C17"/>
    <w:rsid w:val="00A92188"/>
    <w:rsid w:val="00AA63ED"/>
    <w:rsid w:val="00AB031A"/>
    <w:rsid w:val="00AB662D"/>
    <w:rsid w:val="00AB79D7"/>
    <w:rsid w:val="00AB7BF1"/>
    <w:rsid w:val="00AC338A"/>
    <w:rsid w:val="00AD004F"/>
    <w:rsid w:val="00AE553A"/>
    <w:rsid w:val="00AF0970"/>
    <w:rsid w:val="00AF2FFF"/>
    <w:rsid w:val="00B06F56"/>
    <w:rsid w:val="00B12658"/>
    <w:rsid w:val="00B14980"/>
    <w:rsid w:val="00B330FE"/>
    <w:rsid w:val="00B361F5"/>
    <w:rsid w:val="00B4012C"/>
    <w:rsid w:val="00B4340E"/>
    <w:rsid w:val="00B56109"/>
    <w:rsid w:val="00B565BE"/>
    <w:rsid w:val="00B5705E"/>
    <w:rsid w:val="00B65D17"/>
    <w:rsid w:val="00B76931"/>
    <w:rsid w:val="00B878D1"/>
    <w:rsid w:val="00B92150"/>
    <w:rsid w:val="00BA6B04"/>
    <w:rsid w:val="00BB1958"/>
    <w:rsid w:val="00BC79F0"/>
    <w:rsid w:val="00BD61D0"/>
    <w:rsid w:val="00BD6B9E"/>
    <w:rsid w:val="00BE08A3"/>
    <w:rsid w:val="00BE4324"/>
    <w:rsid w:val="00BE5B0F"/>
    <w:rsid w:val="00BE7060"/>
    <w:rsid w:val="00BE73D6"/>
    <w:rsid w:val="00BF5CDC"/>
    <w:rsid w:val="00C0712A"/>
    <w:rsid w:val="00C11336"/>
    <w:rsid w:val="00C1619F"/>
    <w:rsid w:val="00C22907"/>
    <w:rsid w:val="00C22B58"/>
    <w:rsid w:val="00C26A83"/>
    <w:rsid w:val="00C334C0"/>
    <w:rsid w:val="00C36235"/>
    <w:rsid w:val="00C4286A"/>
    <w:rsid w:val="00C4414B"/>
    <w:rsid w:val="00C4533A"/>
    <w:rsid w:val="00C5519A"/>
    <w:rsid w:val="00C56D85"/>
    <w:rsid w:val="00C57E62"/>
    <w:rsid w:val="00C6351D"/>
    <w:rsid w:val="00C6714F"/>
    <w:rsid w:val="00C771DB"/>
    <w:rsid w:val="00C828A6"/>
    <w:rsid w:val="00C85C28"/>
    <w:rsid w:val="00C923C9"/>
    <w:rsid w:val="00C971F0"/>
    <w:rsid w:val="00CA2061"/>
    <w:rsid w:val="00CA2ABF"/>
    <w:rsid w:val="00CA6A38"/>
    <w:rsid w:val="00CA6E7C"/>
    <w:rsid w:val="00CB3DEC"/>
    <w:rsid w:val="00CC02D6"/>
    <w:rsid w:val="00CC120F"/>
    <w:rsid w:val="00CC434B"/>
    <w:rsid w:val="00CD2256"/>
    <w:rsid w:val="00CD5308"/>
    <w:rsid w:val="00CD76E4"/>
    <w:rsid w:val="00CE122C"/>
    <w:rsid w:val="00CE2AF1"/>
    <w:rsid w:val="00CE5833"/>
    <w:rsid w:val="00CE6A0E"/>
    <w:rsid w:val="00CE707D"/>
    <w:rsid w:val="00CF1640"/>
    <w:rsid w:val="00D04164"/>
    <w:rsid w:val="00D12A9E"/>
    <w:rsid w:val="00D12CFD"/>
    <w:rsid w:val="00D166B6"/>
    <w:rsid w:val="00D2401D"/>
    <w:rsid w:val="00D261BF"/>
    <w:rsid w:val="00D32AD1"/>
    <w:rsid w:val="00D349BA"/>
    <w:rsid w:val="00D4130F"/>
    <w:rsid w:val="00D41709"/>
    <w:rsid w:val="00D42354"/>
    <w:rsid w:val="00D537E1"/>
    <w:rsid w:val="00D635C8"/>
    <w:rsid w:val="00D71D01"/>
    <w:rsid w:val="00D764A5"/>
    <w:rsid w:val="00D9118B"/>
    <w:rsid w:val="00D94F87"/>
    <w:rsid w:val="00DA2322"/>
    <w:rsid w:val="00DB1D01"/>
    <w:rsid w:val="00DB54A3"/>
    <w:rsid w:val="00DB5AD2"/>
    <w:rsid w:val="00DB60B7"/>
    <w:rsid w:val="00DB61DC"/>
    <w:rsid w:val="00DE5DC4"/>
    <w:rsid w:val="00DE6A2B"/>
    <w:rsid w:val="00DE735A"/>
    <w:rsid w:val="00E0034B"/>
    <w:rsid w:val="00E04A46"/>
    <w:rsid w:val="00E13EA4"/>
    <w:rsid w:val="00E32747"/>
    <w:rsid w:val="00E3741D"/>
    <w:rsid w:val="00E41213"/>
    <w:rsid w:val="00E51A4C"/>
    <w:rsid w:val="00E60A75"/>
    <w:rsid w:val="00E67D6B"/>
    <w:rsid w:val="00E83076"/>
    <w:rsid w:val="00E84F1E"/>
    <w:rsid w:val="00E968C5"/>
    <w:rsid w:val="00EB41D3"/>
    <w:rsid w:val="00EC4D77"/>
    <w:rsid w:val="00EE4692"/>
    <w:rsid w:val="00EE5846"/>
    <w:rsid w:val="00EF0BBA"/>
    <w:rsid w:val="00EF4B16"/>
    <w:rsid w:val="00EF6118"/>
    <w:rsid w:val="00F0300A"/>
    <w:rsid w:val="00F12D26"/>
    <w:rsid w:val="00F13709"/>
    <w:rsid w:val="00F215BB"/>
    <w:rsid w:val="00F21D1F"/>
    <w:rsid w:val="00F21FEC"/>
    <w:rsid w:val="00F3794C"/>
    <w:rsid w:val="00F379E1"/>
    <w:rsid w:val="00F42570"/>
    <w:rsid w:val="00F426D2"/>
    <w:rsid w:val="00F42D30"/>
    <w:rsid w:val="00F43F87"/>
    <w:rsid w:val="00F5056E"/>
    <w:rsid w:val="00F51BB8"/>
    <w:rsid w:val="00F52A85"/>
    <w:rsid w:val="00F63CEB"/>
    <w:rsid w:val="00F641CE"/>
    <w:rsid w:val="00F769EE"/>
    <w:rsid w:val="00F85FDE"/>
    <w:rsid w:val="00F93A3A"/>
    <w:rsid w:val="00F96B9E"/>
    <w:rsid w:val="00FA1788"/>
    <w:rsid w:val="00FB2E97"/>
    <w:rsid w:val="00FB4453"/>
    <w:rsid w:val="00FC14D8"/>
    <w:rsid w:val="00FD5238"/>
    <w:rsid w:val="00FE5275"/>
    <w:rsid w:val="00FE746F"/>
    <w:rsid w:val="00FF345F"/>
    <w:rsid w:val="00FF417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F1"/>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9"/>
    <w:qFormat/>
    <w:rsid w:val="002D646C"/>
    <w:pPr>
      <w:keepNext/>
      <w:spacing w:after="0" w:line="240" w:lineRule="auto"/>
      <w:ind w:firstLine="284"/>
      <w:jc w:val="center"/>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646C"/>
    <w:rPr>
      <w:b/>
      <w:sz w:val="28"/>
      <w:lang w:eastAsia="en-US"/>
    </w:rPr>
  </w:style>
  <w:style w:type="paragraph" w:styleId="Footer">
    <w:name w:val="footer"/>
    <w:basedOn w:val="Normal"/>
    <w:link w:val="FooterChar"/>
    <w:uiPriority w:val="99"/>
    <w:unhideWhenUsed/>
    <w:rsid w:val="00CE2AF1"/>
    <w:pPr>
      <w:tabs>
        <w:tab w:val="center" w:pos="4513"/>
        <w:tab w:val="right" w:pos="9026"/>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CE2AF1"/>
    <w:rPr>
      <w:sz w:val="24"/>
      <w:szCs w:val="24"/>
      <w:lang w:val="en-GB" w:eastAsia="en-US"/>
    </w:rPr>
  </w:style>
  <w:style w:type="paragraph" w:styleId="BodyTextIndent">
    <w:name w:val="Body Text Indent"/>
    <w:basedOn w:val="Normal"/>
    <w:link w:val="BodyTextIndentChar"/>
    <w:rsid w:val="00CE2AF1"/>
    <w:pPr>
      <w:spacing w:after="120"/>
      <w:ind w:left="283"/>
    </w:pPr>
  </w:style>
  <w:style w:type="character" w:customStyle="1" w:styleId="BodyTextIndentChar">
    <w:name w:val="Body Text Indent Char"/>
    <w:basedOn w:val="DefaultParagraphFont"/>
    <w:link w:val="BodyTextIndent"/>
    <w:rsid w:val="00CE2AF1"/>
    <w:rPr>
      <w:rFonts w:ascii="Calibri" w:eastAsia="Calibri" w:hAnsi="Calibri"/>
      <w:sz w:val="22"/>
      <w:szCs w:val="22"/>
      <w:lang w:eastAsia="en-US"/>
    </w:rPr>
  </w:style>
  <w:style w:type="character" w:styleId="Strong">
    <w:name w:val="Strong"/>
    <w:basedOn w:val="DefaultParagraphFont"/>
    <w:qFormat/>
    <w:rsid w:val="00CE2AF1"/>
    <w:rPr>
      <w:b/>
      <w:bCs/>
    </w:rPr>
  </w:style>
  <w:style w:type="paragraph" w:styleId="Header">
    <w:name w:val="header"/>
    <w:basedOn w:val="Normal"/>
    <w:link w:val="HeaderChar"/>
    <w:uiPriority w:val="99"/>
    <w:unhideWhenUsed/>
    <w:rsid w:val="00CE2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AF1"/>
    <w:rPr>
      <w:rFonts w:ascii="Calibri" w:eastAsia="Calibri" w:hAnsi="Calibri"/>
      <w:sz w:val="22"/>
      <w:szCs w:val="22"/>
      <w:lang w:eastAsia="en-US"/>
    </w:rPr>
  </w:style>
  <w:style w:type="table" w:styleId="TableGrid">
    <w:name w:val="Table Grid"/>
    <w:basedOn w:val="TableNormal"/>
    <w:uiPriority w:val="59"/>
    <w:rsid w:val="005C7F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isc">
    <w:name w:val="naisc"/>
    <w:basedOn w:val="Normal"/>
    <w:rsid w:val="007547B0"/>
    <w:pPr>
      <w:spacing w:before="275" w:after="183" w:line="240" w:lineRule="auto"/>
      <w:jc w:val="center"/>
    </w:pPr>
    <w:rPr>
      <w:rFonts w:ascii="Times New Roman" w:eastAsia="Times New Roman" w:hAnsi="Times New Roman"/>
      <w:sz w:val="26"/>
      <w:szCs w:val="26"/>
      <w:lang w:eastAsia="lv-LV"/>
    </w:rPr>
  </w:style>
  <w:style w:type="paragraph" w:styleId="ListParagraph">
    <w:name w:val="List Paragraph"/>
    <w:basedOn w:val="Normal"/>
    <w:uiPriority w:val="34"/>
    <w:qFormat/>
    <w:rsid w:val="003D6AF5"/>
    <w:pPr>
      <w:ind w:left="720"/>
      <w:contextualSpacing/>
    </w:pPr>
  </w:style>
  <w:style w:type="paragraph" w:styleId="NormalWeb">
    <w:name w:val="Normal (Web)"/>
    <w:basedOn w:val="Normal"/>
    <w:link w:val="NormalWebChar"/>
    <w:rsid w:val="00BE08A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28220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3E68FC"/>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FF3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45F"/>
    <w:rPr>
      <w:rFonts w:ascii="Tahoma" w:eastAsia="Calibri" w:hAnsi="Tahoma" w:cs="Tahoma"/>
      <w:sz w:val="16"/>
      <w:szCs w:val="16"/>
      <w:lang w:eastAsia="en-US"/>
    </w:rPr>
  </w:style>
  <w:style w:type="character" w:customStyle="1" w:styleId="NormalWebChar">
    <w:name w:val="Normal (Web) Char"/>
    <w:basedOn w:val="DefaultParagraphFont"/>
    <w:link w:val="NormalWeb"/>
    <w:rsid w:val="00F93A3A"/>
    <w:rPr>
      <w:sz w:val="24"/>
      <w:szCs w:val="24"/>
    </w:rPr>
  </w:style>
</w:styles>
</file>

<file path=word/webSettings.xml><?xml version="1.0" encoding="utf-8"?>
<w:webSettings xmlns:r="http://schemas.openxmlformats.org/officeDocument/2006/relationships" xmlns:w="http://schemas.openxmlformats.org/wordprocessingml/2006/main">
  <w:divs>
    <w:div w:id="596257475">
      <w:bodyDiv w:val="1"/>
      <w:marLeft w:val="0"/>
      <w:marRight w:val="0"/>
      <w:marTop w:val="0"/>
      <w:marBottom w:val="0"/>
      <w:divBdr>
        <w:top w:val="none" w:sz="0" w:space="0" w:color="auto"/>
        <w:left w:val="none" w:sz="0" w:space="0" w:color="auto"/>
        <w:bottom w:val="none" w:sz="0" w:space="0" w:color="auto"/>
        <w:right w:val="none" w:sz="0" w:space="0" w:color="auto"/>
      </w:divBdr>
      <w:divsChild>
        <w:div w:id="90930282">
          <w:marLeft w:val="3"/>
          <w:marRight w:val="3"/>
          <w:marTop w:val="0"/>
          <w:marBottom w:val="0"/>
          <w:divBdr>
            <w:top w:val="single" w:sz="6" w:space="0" w:color="112449"/>
            <w:left w:val="single" w:sz="6" w:space="0" w:color="112449"/>
            <w:bottom w:val="single" w:sz="6" w:space="0" w:color="112449"/>
            <w:right w:val="single" w:sz="6" w:space="0" w:color="112449"/>
          </w:divBdr>
          <w:divsChild>
            <w:div w:id="1610241547">
              <w:marLeft w:val="3"/>
              <w:marRight w:val="3"/>
              <w:marTop w:val="0"/>
              <w:marBottom w:val="0"/>
              <w:divBdr>
                <w:top w:val="single" w:sz="6" w:space="0" w:color="112449"/>
                <w:left w:val="single" w:sz="6" w:space="0" w:color="112449"/>
                <w:bottom w:val="single" w:sz="6" w:space="0" w:color="112449"/>
                <w:right w:val="single" w:sz="6" w:space="0" w:color="112449"/>
              </w:divBdr>
              <w:divsChild>
                <w:div w:id="20111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89561">
      <w:bodyDiv w:val="1"/>
      <w:marLeft w:val="0"/>
      <w:marRight w:val="0"/>
      <w:marTop w:val="0"/>
      <w:marBottom w:val="0"/>
      <w:divBdr>
        <w:top w:val="none" w:sz="0" w:space="0" w:color="auto"/>
        <w:left w:val="none" w:sz="0" w:space="0" w:color="auto"/>
        <w:bottom w:val="none" w:sz="0" w:space="0" w:color="auto"/>
        <w:right w:val="none" w:sz="0" w:space="0" w:color="auto"/>
      </w:divBdr>
    </w:div>
    <w:div w:id="669020382">
      <w:bodyDiv w:val="1"/>
      <w:marLeft w:val="0"/>
      <w:marRight w:val="0"/>
      <w:marTop w:val="0"/>
      <w:marBottom w:val="0"/>
      <w:divBdr>
        <w:top w:val="none" w:sz="0" w:space="0" w:color="auto"/>
        <w:left w:val="none" w:sz="0" w:space="0" w:color="auto"/>
        <w:bottom w:val="none" w:sz="0" w:space="0" w:color="auto"/>
        <w:right w:val="none" w:sz="0" w:space="0" w:color="auto"/>
      </w:divBdr>
    </w:div>
    <w:div w:id="736124336">
      <w:bodyDiv w:val="1"/>
      <w:marLeft w:val="0"/>
      <w:marRight w:val="0"/>
      <w:marTop w:val="0"/>
      <w:marBottom w:val="0"/>
      <w:divBdr>
        <w:top w:val="none" w:sz="0" w:space="0" w:color="auto"/>
        <w:left w:val="none" w:sz="0" w:space="0" w:color="auto"/>
        <w:bottom w:val="none" w:sz="0" w:space="0" w:color="auto"/>
        <w:right w:val="none" w:sz="0" w:space="0" w:color="auto"/>
      </w:divBdr>
    </w:div>
    <w:div w:id="949317593">
      <w:bodyDiv w:val="1"/>
      <w:marLeft w:val="0"/>
      <w:marRight w:val="0"/>
      <w:marTop w:val="0"/>
      <w:marBottom w:val="0"/>
      <w:divBdr>
        <w:top w:val="none" w:sz="0" w:space="0" w:color="auto"/>
        <w:left w:val="none" w:sz="0" w:space="0" w:color="auto"/>
        <w:bottom w:val="none" w:sz="0" w:space="0" w:color="auto"/>
        <w:right w:val="none" w:sz="0" w:space="0" w:color="auto"/>
      </w:divBdr>
    </w:div>
    <w:div w:id="184990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80DBF-F679-4CE4-A64B-ADE4496F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5560</Words>
  <Characters>3170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anotācija Ministru kabineta noteikumu projektam „„Grozījumi Ministru kabineta 2000.gada 26.septembra noteikumos Nr. 330 „Vakcinācijas noteikumi””</vt:lpstr>
    </vt:vector>
  </TitlesOfParts>
  <Company>Veselības ministrija</Company>
  <LinksUpToDate>false</LinksUpToDate>
  <CharactersWithSpaces>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noteikumu projektam „„Grozījumi Ministru kabineta 2000.gada 26.septembra noteikumos Nr. 330 „Vakcinācijas noteikumi””</dc:title>
  <dc:subject>anotācija</dc:subject>
  <dc:creator>Dace Viļuma</dc:creator>
  <cp:keywords>Veselības ministrija</cp:keywords>
  <dc:description>dace.viluma@vm.gov.lv, t.67876080, fax: 67876071</dc:description>
  <cp:lastModifiedBy>dviluma</cp:lastModifiedBy>
  <cp:revision>4</cp:revision>
  <cp:lastPrinted>2010-11-26T10:45:00Z</cp:lastPrinted>
  <dcterms:created xsi:type="dcterms:W3CDTF">2010-11-26T10:53:00Z</dcterms:created>
  <dcterms:modified xsi:type="dcterms:W3CDTF">2010-11-26T10:58:00Z</dcterms:modified>
  <cp:contentStatus>projekts</cp:contentStatus>
</cp:coreProperties>
</file>