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CE28" w14:textId="77777777" w:rsidR="001A02D0" w:rsidRPr="00EA035D" w:rsidRDefault="001A02D0" w:rsidP="001A02D0">
      <w:pPr>
        <w:spacing w:before="130" w:line="260" w:lineRule="exact"/>
        <w:jc w:val="right"/>
        <w:rPr>
          <w:rFonts w:ascii="Cambria" w:hAnsi="Cambria"/>
          <w:sz w:val="19"/>
          <w:szCs w:val="24"/>
          <w:lang w:eastAsia="lv-LV"/>
        </w:rPr>
      </w:pPr>
      <w:r w:rsidRPr="00EA035D">
        <w:rPr>
          <w:rFonts w:ascii="Cambria" w:hAnsi="Cambria"/>
          <w:sz w:val="19"/>
          <w:szCs w:val="24"/>
        </w:rPr>
        <w:t>4. pielikums</w:t>
      </w:r>
      <w:r w:rsidRPr="00EA035D">
        <w:rPr>
          <w:rFonts w:ascii="Cambria" w:hAnsi="Cambria"/>
          <w:sz w:val="19"/>
          <w:szCs w:val="24"/>
        </w:rPr>
        <w:br/>
        <w:t>Ķekavas novada pašvaldības 2026. gada 4. jūnija</w:t>
      </w:r>
      <w:r w:rsidRPr="00EA035D">
        <w:rPr>
          <w:rFonts w:ascii="Cambria" w:hAnsi="Cambria"/>
          <w:sz w:val="19"/>
          <w:szCs w:val="24"/>
        </w:rPr>
        <w:br/>
        <w:t>saistošajiem noteikumiem Nr. 11/2026</w:t>
      </w:r>
    </w:p>
    <w:p w14:paraId="2A269DBD" w14:textId="77777777" w:rsidR="001A02D0" w:rsidRPr="00B57EAE" w:rsidRDefault="001A02D0" w:rsidP="001A02D0">
      <w:pPr>
        <w:spacing w:before="360"/>
        <w:ind w:left="567" w:right="567"/>
        <w:jc w:val="center"/>
        <w:rPr>
          <w:rFonts w:ascii="Cambria" w:hAnsi="Cambria"/>
          <w:b/>
          <w:sz w:val="22"/>
          <w:szCs w:val="24"/>
        </w:rPr>
      </w:pPr>
      <w:r w:rsidRPr="00B57EAE">
        <w:rPr>
          <w:rFonts w:ascii="Cambria" w:hAnsi="Cambria"/>
          <w:b/>
          <w:sz w:val="22"/>
          <w:szCs w:val="24"/>
        </w:rPr>
        <w:t>Pieteikumu v</w:t>
      </w:r>
      <w:r w:rsidRPr="00B57EAE">
        <w:rPr>
          <w:rFonts w:ascii="Cambria" w:hAnsi="Cambria"/>
          <w:b/>
          <w:bCs/>
          <w:sz w:val="22"/>
          <w:szCs w:val="24"/>
        </w:rPr>
        <w:t>ērtēšanas kritēriji</w:t>
      </w:r>
    </w:p>
    <w:p w14:paraId="267E20E5" w14:textId="77777777" w:rsidR="001A02D0" w:rsidRPr="00EA035D" w:rsidRDefault="001A02D0" w:rsidP="001A02D0">
      <w:pPr>
        <w:spacing w:before="130" w:line="260" w:lineRule="exact"/>
        <w:jc w:val="both"/>
        <w:rPr>
          <w:rFonts w:ascii="Cambria" w:hAnsi="Cambria"/>
          <w:b/>
          <w:bCs/>
          <w:sz w:val="19"/>
          <w:szCs w:val="24"/>
          <w:u w:val="single"/>
        </w:rPr>
      </w:pPr>
    </w:p>
    <w:p w14:paraId="4FC0C4BC" w14:textId="77777777" w:rsidR="001A02D0" w:rsidRPr="00EA035D" w:rsidRDefault="001A02D0" w:rsidP="001A02D0">
      <w:pPr>
        <w:spacing w:before="130" w:after="60" w:line="260" w:lineRule="exact"/>
        <w:jc w:val="both"/>
        <w:rPr>
          <w:rFonts w:ascii="Cambria" w:hAnsi="Cambria"/>
          <w:b/>
          <w:bCs/>
          <w:sz w:val="19"/>
          <w:szCs w:val="24"/>
          <w:u w:val="single"/>
        </w:rPr>
      </w:pPr>
      <w:r w:rsidRPr="00EA035D">
        <w:rPr>
          <w:rFonts w:ascii="Cambria" w:hAnsi="Cambria"/>
          <w:b/>
          <w:bCs/>
          <w:sz w:val="19"/>
          <w:szCs w:val="24"/>
          <w:u w:val="single"/>
        </w:rPr>
        <w:t>1. Administratīvie atbilstības kritēriji</w:t>
      </w:r>
    </w:p>
    <w:tbl>
      <w:tblPr>
        <w:tblW w:w="5000" w:type="pct"/>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CellMar>
          <w:top w:w="28" w:type="dxa"/>
          <w:left w:w="28" w:type="dxa"/>
          <w:bottom w:w="28" w:type="dxa"/>
          <w:right w:w="28" w:type="dxa"/>
        </w:tblCellMar>
        <w:tblLook w:val="04A0" w:firstRow="1" w:lastRow="0" w:firstColumn="1" w:lastColumn="0" w:noHBand="0" w:noVBand="1"/>
      </w:tblPr>
      <w:tblGrid>
        <w:gridCol w:w="862"/>
        <w:gridCol w:w="5610"/>
        <w:gridCol w:w="1122"/>
        <w:gridCol w:w="1036"/>
      </w:tblGrid>
      <w:tr w:rsidR="001A02D0" w:rsidRPr="00B57EAE" w14:paraId="0DD3D746" w14:textId="77777777" w:rsidTr="00D474C9">
        <w:tc>
          <w:tcPr>
            <w:tcW w:w="500" w:type="pct"/>
            <w:hideMark/>
          </w:tcPr>
          <w:p w14:paraId="31484E71" w14:textId="77777777" w:rsidR="001A02D0" w:rsidRPr="00B57EAE" w:rsidRDefault="001A02D0" w:rsidP="00D474C9">
            <w:pPr>
              <w:jc w:val="center"/>
              <w:rPr>
                <w:rFonts w:ascii="Cambria" w:hAnsi="Cambria"/>
                <w:sz w:val="19"/>
                <w:szCs w:val="24"/>
                <w14:ligatures w14:val="standardContextual"/>
              </w:rPr>
            </w:pPr>
            <w:proofErr w:type="spellStart"/>
            <w:r w:rsidRPr="00B57EAE">
              <w:rPr>
                <w:rFonts w:ascii="Cambria" w:hAnsi="Cambria"/>
                <w:b/>
                <w:bCs/>
                <w:sz w:val="19"/>
                <w:szCs w:val="24"/>
                <w14:ligatures w14:val="standardContextual"/>
              </w:rPr>
              <w:t>Nr.p.k</w:t>
            </w:r>
            <w:proofErr w:type="spellEnd"/>
            <w:r w:rsidRPr="00B57EAE">
              <w:rPr>
                <w:rFonts w:ascii="Cambria" w:hAnsi="Cambria"/>
                <w:b/>
                <w:bCs/>
                <w:sz w:val="19"/>
                <w:szCs w:val="24"/>
                <w14:ligatures w14:val="standardContextual"/>
              </w:rPr>
              <w:t>.</w:t>
            </w:r>
          </w:p>
        </w:tc>
        <w:tc>
          <w:tcPr>
            <w:tcW w:w="3250" w:type="pct"/>
            <w:hideMark/>
          </w:tcPr>
          <w:p w14:paraId="3DF61F57" w14:textId="77777777" w:rsidR="001A02D0" w:rsidRPr="00B57EAE" w:rsidRDefault="001A02D0" w:rsidP="00D474C9">
            <w:pPr>
              <w:jc w:val="center"/>
              <w:rPr>
                <w:rFonts w:ascii="Cambria" w:hAnsi="Cambria"/>
                <w:sz w:val="19"/>
                <w:szCs w:val="24"/>
                <w14:ligatures w14:val="standardContextual"/>
              </w:rPr>
            </w:pPr>
            <w:r w:rsidRPr="00B57EAE">
              <w:rPr>
                <w:rFonts w:ascii="Cambria" w:hAnsi="Cambria"/>
                <w:b/>
                <w:bCs/>
                <w:sz w:val="19"/>
                <w:szCs w:val="24"/>
                <w14:ligatures w14:val="standardContextual"/>
              </w:rPr>
              <w:t>Kritērijs</w:t>
            </w:r>
          </w:p>
        </w:tc>
        <w:tc>
          <w:tcPr>
            <w:tcW w:w="650" w:type="pct"/>
            <w:hideMark/>
          </w:tcPr>
          <w:p w14:paraId="261D21BA" w14:textId="77777777" w:rsidR="001A02D0" w:rsidRPr="00B57EAE" w:rsidRDefault="001A02D0" w:rsidP="00D474C9">
            <w:pPr>
              <w:jc w:val="center"/>
              <w:rPr>
                <w:rFonts w:ascii="Cambria" w:hAnsi="Cambria"/>
                <w:sz w:val="19"/>
                <w:szCs w:val="24"/>
                <w14:ligatures w14:val="standardContextual"/>
              </w:rPr>
            </w:pPr>
            <w:r w:rsidRPr="00B57EAE">
              <w:rPr>
                <w:rFonts w:ascii="Cambria" w:hAnsi="Cambria"/>
                <w:b/>
                <w:bCs/>
                <w:sz w:val="19"/>
                <w:szCs w:val="24"/>
                <w14:ligatures w14:val="standardContextual"/>
              </w:rPr>
              <w:t>Jā</w:t>
            </w:r>
          </w:p>
        </w:tc>
        <w:tc>
          <w:tcPr>
            <w:tcW w:w="600" w:type="pct"/>
            <w:hideMark/>
          </w:tcPr>
          <w:p w14:paraId="46A39D3C" w14:textId="77777777" w:rsidR="001A02D0" w:rsidRPr="00B57EAE" w:rsidRDefault="001A02D0" w:rsidP="00D474C9">
            <w:pPr>
              <w:jc w:val="center"/>
              <w:rPr>
                <w:rFonts w:ascii="Cambria" w:hAnsi="Cambria"/>
                <w:sz w:val="19"/>
                <w:szCs w:val="24"/>
                <w14:ligatures w14:val="standardContextual"/>
              </w:rPr>
            </w:pPr>
            <w:r w:rsidRPr="00B57EAE">
              <w:rPr>
                <w:rFonts w:ascii="Cambria" w:hAnsi="Cambria"/>
                <w:b/>
                <w:bCs/>
                <w:sz w:val="19"/>
                <w:szCs w:val="24"/>
                <w14:ligatures w14:val="standardContextual"/>
              </w:rPr>
              <w:t>Nē</w:t>
            </w:r>
          </w:p>
        </w:tc>
      </w:tr>
      <w:tr w:rsidR="001A02D0" w:rsidRPr="00B57EAE" w14:paraId="7B55F499" w14:textId="77777777" w:rsidTr="00D474C9">
        <w:tc>
          <w:tcPr>
            <w:tcW w:w="500" w:type="pct"/>
            <w:hideMark/>
          </w:tcPr>
          <w:p w14:paraId="12F64F0E" w14:textId="77777777" w:rsidR="001A02D0" w:rsidRPr="00B57EAE" w:rsidRDefault="001A02D0" w:rsidP="00D474C9">
            <w:pPr>
              <w:jc w:val="center"/>
              <w:rPr>
                <w:rFonts w:ascii="Cambria" w:hAnsi="Cambria"/>
                <w:sz w:val="19"/>
                <w:szCs w:val="24"/>
                <w14:ligatures w14:val="standardContextual"/>
              </w:rPr>
            </w:pPr>
            <w:r w:rsidRPr="00B57EAE">
              <w:rPr>
                <w:rFonts w:ascii="Cambria" w:hAnsi="Cambria"/>
                <w:sz w:val="19"/>
                <w:szCs w:val="24"/>
                <w14:ligatures w14:val="standardContextual"/>
              </w:rPr>
              <w:t>1.1.</w:t>
            </w:r>
          </w:p>
        </w:tc>
        <w:tc>
          <w:tcPr>
            <w:tcW w:w="3250" w:type="pct"/>
            <w:hideMark/>
          </w:tcPr>
          <w:p w14:paraId="0E438F86"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 xml:space="preserve">Pieteikums noformēts un iesniegts saskaņā ar Noteikumu III nodaļas nosacījumiem </w:t>
            </w:r>
          </w:p>
        </w:tc>
        <w:tc>
          <w:tcPr>
            <w:tcW w:w="650" w:type="pct"/>
            <w:hideMark/>
          </w:tcPr>
          <w:p w14:paraId="50E5CD70" w14:textId="77777777" w:rsidR="001A02D0" w:rsidRPr="00B57EAE" w:rsidRDefault="001A02D0" w:rsidP="00D474C9">
            <w:pPr>
              <w:jc w:val="both"/>
              <w:rPr>
                <w:rFonts w:ascii="Cambria" w:hAnsi="Cambria"/>
                <w:sz w:val="19"/>
                <w:szCs w:val="24"/>
                <w14:ligatures w14:val="standardContextual"/>
              </w:rPr>
            </w:pPr>
            <w:r w:rsidRPr="00B57EAE">
              <w:rPr>
                <w:rFonts w:ascii="Cambria" w:hAnsi="Cambria"/>
                <w:sz w:val="19"/>
                <w:szCs w:val="24"/>
                <w14:ligatures w14:val="standardContextual"/>
              </w:rPr>
              <w:t> </w:t>
            </w:r>
          </w:p>
        </w:tc>
        <w:tc>
          <w:tcPr>
            <w:tcW w:w="600" w:type="pct"/>
            <w:hideMark/>
          </w:tcPr>
          <w:p w14:paraId="1B071FA6" w14:textId="77777777" w:rsidR="001A02D0" w:rsidRPr="00B57EAE" w:rsidRDefault="001A02D0" w:rsidP="00D474C9">
            <w:pPr>
              <w:jc w:val="both"/>
              <w:rPr>
                <w:rFonts w:ascii="Cambria" w:hAnsi="Cambria"/>
                <w:sz w:val="19"/>
                <w:szCs w:val="24"/>
                <w14:ligatures w14:val="standardContextual"/>
              </w:rPr>
            </w:pPr>
            <w:r w:rsidRPr="00B57EAE">
              <w:rPr>
                <w:rFonts w:ascii="Cambria" w:hAnsi="Cambria"/>
                <w:sz w:val="19"/>
                <w:szCs w:val="24"/>
                <w14:ligatures w14:val="standardContextual"/>
              </w:rPr>
              <w:t> </w:t>
            </w:r>
          </w:p>
        </w:tc>
      </w:tr>
      <w:tr w:rsidR="001A02D0" w:rsidRPr="00B57EAE" w14:paraId="687AB0EC" w14:textId="77777777" w:rsidTr="00D474C9">
        <w:tc>
          <w:tcPr>
            <w:tcW w:w="500" w:type="pct"/>
          </w:tcPr>
          <w:p w14:paraId="2B9594DC" w14:textId="77777777" w:rsidR="001A02D0" w:rsidRPr="00B57EAE" w:rsidRDefault="001A02D0" w:rsidP="00D474C9">
            <w:pPr>
              <w:jc w:val="center"/>
              <w:rPr>
                <w:rFonts w:ascii="Cambria" w:hAnsi="Cambria"/>
                <w:sz w:val="19"/>
                <w:szCs w:val="24"/>
                <w14:ligatures w14:val="standardContextual"/>
              </w:rPr>
            </w:pPr>
            <w:r w:rsidRPr="00B57EAE">
              <w:rPr>
                <w:rFonts w:ascii="Cambria" w:hAnsi="Cambria"/>
                <w:sz w:val="19"/>
                <w:szCs w:val="24"/>
                <w14:ligatures w14:val="standardContextual"/>
              </w:rPr>
              <w:t>1.2.</w:t>
            </w:r>
          </w:p>
        </w:tc>
        <w:tc>
          <w:tcPr>
            <w:tcW w:w="3250" w:type="pct"/>
          </w:tcPr>
          <w:p w14:paraId="247C7864"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Pieteikums iesniegts Noteikumu 4. punktā noteiktajā termiņā</w:t>
            </w:r>
          </w:p>
        </w:tc>
        <w:tc>
          <w:tcPr>
            <w:tcW w:w="650" w:type="pct"/>
          </w:tcPr>
          <w:p w14:paraId="56235E35" w14:textId="77777777" w:rsidR="001A02D0" w:rsidRPr="00B57EAE" w:rsidRDefault="001A02D0" w:rsidP="00D474C9">
            <w:pPr>
              <w:jc w:val="both"/>
              <w:rPr>
                <w:rFonts w:ascii="Cambria" w:hAnsi="Cambria"/>
                <w:sz w:val="19"/>
                <w:szCs w:val="24"/>
                <w14:ligatures w14:val="standardContextual"/>
              </w:rPr>
            </w:pPr>
          </w:p>
        </w:tc>
        <w:tc>
          <w:tcPr>
            <w:tcW w:w="600" w:type="pct"/>
          </w:tcPr>
          <w:p w14:paraId="25E1F4D7" w14:textId="77777777" w:rsidR="001A02D0" w:rsidRPr="00B57EAE" w:rsidRDefault="001A02D0" w:rsidP="00D474C9">
            <w:pPr>
              <w:jc w:val="both"/>
              <w:rPr>
                <w:rFonts w:ascii="Cambria" w:hAnsi="Cambria"/>
                <w:sz w:val="19"/>
                <w:szCs w:val="24"/>
                <w14:ligatures w14:val="standardContextual"/>
              </w:rPr>
            </w:pPr>
          </w:p>
        </w:tc>
      </w:tr>
      <w:tr w:rsidR="001A02D0" w:rsidRPr="00B57EAE" w14:paraId="5E4C9B50" w14:textId="77777777" w:rsidTr="00D474C9">
        <w:tc>
          <w:tcPr>
            <w:tcW w:w="500" w:type="pct"/>
          </w:tcPr>
          <w:p w14:paraId="45E23F40" w14:textId="77777777" w:rsidR="001A02D0" w:rsidRPr="00B57EAE" w:rsidRDefault="001A02D0" w:rsidP="00D474C9">
            <w:pPr>
              <w:jc w:val="center"/>
              <w:rPr>
                <w:rFonts w:ascii="Cambria" w:hAnsi="Cambria"/>
                <w:sz w:val="19"/>
                <w:szCs w:val="24"/>
                <w14:ligatures w14:val="standardContextual"/>
              </w:rPr>
            </w:pPr>
            <w:r w:rsidRPr="00B57EAE">
              <w:rPr>
                <w:rFonts w:ascii="Cambria" w:hAnsi="Cambria"/>
                <w:sz w:val="19"/>
                <w:szCs w:val="24"/>
                <w14:ligatures w14:val="standardContextual"/>
              </w:rPr>
              <w:t>1.3.</w:t>
            </w:r>
          </w:p>
        </w:tc>
        <w:tc>
          <w:tcPr>
            <w:tcW w:w="3250" w:type="pct"/>
          </w:tcPr>
          <w:p w14:paraId="13A15B36"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Pretendents atbilst Noteikumu 6. punktā noteiktajā prasībām un kritērijiem</w:t>
            </w:r>
          </w:p>
        </w:tc>
        <w:tc>
          <w:tcPr>
            <w:tcW w:w="650" w:type="pct"/>
          </w:tcPr>
          <w:p w14:paraId="3034DBBE" w14:textId="77777777" w:rsidR="001A02D0" w:rsidRPr="00B57EAE" w:rsidRDefault="001A02D0" w:rsidP="00D474C9">
            <w:pPr>
              <w:jc w:val="both"/>
              <w:rPr>
                <w:rFonts w:ascii="Cambria" w:hAnsi="Cambria"/>
                <w:sz w:val="19"/>
                <w:szCs w:val="24"/>
                <w14:ligatures w14:val="standardContextual"/>
              </w:rPr>
            </w:pPr>
          </w:p>
        </w:tc>
        <w:tc>
          <w:tcPr>
            <w:tcW w:w="600" w:type="pct"/>
          </w:tcPr>
          <w:p w14:paraId="76DED98B" w14:textId="77777777" w:rsidR="001A02D0" w:rsidRPr="00B57EAE" w:rsidRDefault="001A02D0" w:rsidP="00D474C9">
            <w:pPr>
              <w:jc w:val="both"/>
              <w:rPr>
                <w:rFonts w:ascii="Cambria" w:hAnsi="Cambria"/>
                <w:sz w:val="19"/>
                <w:szCs w:val="24"/>
                <w14:ligatures w14:val="standardContextual"/>
              </w:rPr>
            </w:pPr>
          </w:p>
        </w:tc>
      </w:tr>
      <w:tr w:rsidR="001A02D0" w:rsidRPr="00B57EAE" w14:paraId="7B8D2D0C" w14:textId="77777777" w:rsidTr="00D474C9">
        <w:tc>
          <w:tcPr>
            <w:tcW w:w="500" w:type="pct"/>
          </w:tcPr>
          <w:p w14:paraId="3BEF229B" w14:textId="77777777" w:rsidR="001A02D0" w:rsidRPr="00B57EAE" w:rsidRDefault="001A02D0" w:rsidP="00D474C9">
            <w:pPr>
              <w:jc w:val="right"/>
              <w:rPr>
                <w:rFonts w:ascii="Cambria" w:hAnsi="Cambria"/>
                <w:sz w:val="19"/>
                <w:szCs w:val="24"/>
                <w14:ligatures w14:val="standardContextual"/>
              </w:rPr>
            </w:pPr>
            <w:r w:rsidRPr="00B57EAE">
              <w:rPr>
                <w:rFonts w:ascii="Cambria" w:hAnsi="Cambria"/>
                <w:sz w:val="19"/>
                <w:szCs w:val="24"/>
                <w14:ligatures w14:val="standardContextual"/>
              </w:rPr>
              <w:t>1.3.1</w:t>
            </w:r>
          </w:p>
        </w:tc>
        <w:tc>
          <w:tcPr>
            <w:tcW w:w="3250" w:type="pct"/>
          </w:tcPr>
          <w:p w14:paraId="600F6647"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tās juridiskā adrese ir novada administratīvajā teritorijā vai tās aktivitātes tiek īstenotas novada administratīvajā teritorijā</w:t>
            </w:r>
          </w:p>
        </w:tc>
        <w:tc>
          <w:tcPr>
            <w:tcW w:w="650" w:type="pct"/>
          </w:tcPr>
          <w:p w14:paraId="49D3A70E" w14:textId="77777777" w:rsidR="001A02D0" w:rsidRPr="00B57EAE" w:rsidRDefault="001A02D0" w:rsidP="00D474C9">
            <w:pPr>
              <w:jc w:val="both"/>
              <w:rPr>
                <w:rFonts w:ascii="Cambria" w:hAnsi="Cambria"/>
                <w:sz w:val="19"/>
                <w:szCs w:val="24"/>
                <w14:ligatures w14:val="standardContextual"/>
              </w:rPr>
            </w:pPr>
          </w:p>
        </w:tc>
        <w:tc>
          <w:tcPr>
            <w:tcW w:w="600" w:type="pct"/>
          </w:tcPr>
          <w:p w14:paraId="57BCA830" w14:textId="77777777" w:rsidR="001A02D0" w:rsidRPr="00B57EAE" w:rsidRDefault="001A02D0" w:rsidP="00D474C9">
            <w:pPr>
              <w:jc w:val="both"/>
              <w:rPr>
                <w:rFonts w:ascii="Cambria" w:hAnsi="Cambria"/>
                <w:sz w:val="19"/>
                <w:szCs w:val="24"/>
                <w14:ligatures w14:val="standardContextual"/>
              </w:rPr>
            </w:pPr>
          </w:p>
        </w:tc>
      </w:tr>
      <w:tr w:rsidR="001A02D0" w:rsidRPr="00B57EAE" w14:paraId="38ACC3B8" w14:textId="77777777" w:rsidTr="00D474C9">
        <w:tc>
          <w:tcPr>
            <w:tcW w:w="500" w:type="pct"/>
          </w:tcPr>
          <w:p w14:paraId="72062FF9" w14:textId="77777777" w:rsidR="001A02D0" w:rsidRPr="00B57EAE" w:rsidRDefault="001A02D0" w:rsidP="00D474C9">
            <w:pPr>
              <w:jc w:val="right"/>
              <w:rPr>
                <w:rFonts w:ascii="Cambria" w:hAnsi="Cambria"/>
                <w:sz w:val="19"/>
                <w:szCs w:val="24"/>
                <w14:ligatures w14:val="standardContextual"/>
              </w:rPr>
            </w:pPr>
            <w:r w:rsidRPr="00B57EAE">
              <w:rPr>
                <w:rFonts w:ascii="Cambria" w:hAnsi="Cambria"/>
                <w:sz w:val="19"/>
                <w:szCs w:val="24"/>
                <w14:ligatures w14:val="standardContextual"/>
              </w:rPr>
              <w:t>1.3.2.</w:t>
            </w:r>
          </w:p>
        </w:tc>
        <w:tc>
          <w:tcPr>
            <w:tcW w:w="3250" w:type="pct"/>
          </w:tcPr>
          <w:p w14:paraId="726B6528"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 xml:space="preserve">tai nav nodokļu un citu valsts vai pašvaldību noteikto obligāto maksājumu parāda, kas pārsniedz 150,00 </w:t>
            </w:r>
            <w:proofErr w:type="spellStart"/>
            <w:r w:rsidRPr="00B57EAE">
              <w:rPr>
                <w:rFonts w:ascii="Cambria" w:hAnsi="Cambria"/>
                <w:i/>
                <w:sz w:val="19"/>
                <w:szCs w:val="24"/>
                <w14:ligatures w14:val="standardContextual"/>
              </w:rPr>
              <w:t>euro</w:t>
            </w:r>
            <w:proofErr w:type="spellEnd"/>
            <w:r w:rsidRPr="00B57EAE">
              <w:rPr>
                <w:rFonts w:ascii="Cambria" w:hAnsi="Cambria"/>
                <w:sz w:val="19"/>
                <w:szCs w:val="24"/>
                <w14:ligatures w14:val="standardContextual"/>
              </w:rPr>
              <w:t xml:space="preserve"> (viens simts piecdesmit </w:t>
            </w:r>
            <w:proofErr w:type="spellStart"/>
            <w:r w:rsidRPr="00B57EAE">
              <w:rPr>
                <w:rFonts w:ascii="Cambria" w:hAnsi="Cambria"/>
                <w:i/>
                <w:sz w:val="19"/>
                <w:szCs w:val="24"/>
                <w14:ligatures w14:val="standardContextual"/>
              </w:rPr>
              <w:t>euro</w:t>
            </w:r>
            <w:proofErr w:type="spellEnd"/>
            <w:r w:rsidRPr="00B57EAE">
              <w:rPr>
                <w:rFonts w:ascii="Cambria" w:hAnsi="Cambria"/>
                <w:sz w:val="19"/>
                <w:szCs w:val="24"/>
                <w14:ligatures w14:val="standardContextual"/>
              </w:rPr>
              <w:t xml:space="preserve"> un 00 centi)</w:t>
            </w:r>
          </w:p>
        </w:tc>
        <w:tc>
          <w:tcPr>
            <w:tcW w:w="650" w:type="pct"/>
          </w:tcPr>
          <w:p w14:paraId="1D14998F" w14:textId="77777777" w:rsidR="001A02D0" w:rsidRPr="00B57EAE" w:rsidRDefault="001A02D0" w:rsidP="00D474C9">
            <w:pPr>
              <w:jc w:val="both"/>
              <w:rPr>
                <w:rFonts w:ascii="Cambria" w:hAnsi="Cambria"/>
                <w:sz w:val="19"/>
                <w:szCs w:val="24"/>
                <w14:ligatures w14:val="standardContextual"/>
              </w:rPr>
            </w:pPr>
          </w:p>
        </w:tc>
        <w:tc>
          <w:tcPr>
            <w:tcW w:w="600" w:type="pct"/>
          </w:tcPr>
          <w:p w14:paraId="3A53B753" w14:textId="77777777" w:rsidR="001A02D0" w:rsidRPr="00B57EAE" w:rsidRDefault="001A02D0" w:rsidP="00D474C9">
            <w:pPr>
              <w:jc w:val="both"/>
              <w:rPr>
                <w:rFonts w:ascii="Cambria" w:hAnsi="Cambria"/>
                <w:sz w:val="19"/>
                <w:szCs w:val="24"/>
                <w14:ligatures w14:val="standardContextual"/>
              </w:rPr>
            </w:pPr>
          </w:p>
        </w:tc>
      </w:tr>
      <w:tr w:rsidR="001A02D0" w:rsidRPr="00B57EAE" w14:paraId="49D54AB0" w14:textId="77777777" w:rsidTr="00D474C9">
        <w:tc>
          <w:tcPr>
            <w:tcW w:w="500" w:type="pct"/>
          </w:tcPr>
          <w:p w14:paraId="56DD3825" w14:textId="77777777" w:rsidR="001A02D0" w:rsidRPr="00B57EAE" w:rsidRDefault="001A02D0" w:rsidP="00D474C9">
            <w:pPr>
              <w:jc w:val="right"/>
              <w:rPr>
                <w:rFonts w:ascii="Cambria" w:hAnsi="Cambria"/>
                <w:sz w:val="19"/>
                <w:szCs w:val="24"/>
                <w14:ligatures w14:val="standardContextual"/>
              </w:rPr>
            </w:pPr>
            <w:r w:rsidRPr="00B57EAE">
              <w:rPr>
                <w:rFonts w:ascii="Cambria" w:hAnsi="Cambria"/>
                <w:sz w:val="19"/>
                <w:szCs w:val="24"/>
                <w14:ligatures w14:val="standardContextual"/>
              </w:rPr>
              <w:t>1.3.3.</w:t>
            </w:r>
          </w:p>
        </w:tc>
        <w:tc>
          <w:tcPr>
            <w:tcW w:w="3250" w:type="pct"/>
          </w:tcPr>
          <w:p w14:paraId="7FBFB629"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tā ir izpildījusi visas līgumsaistības ar pašvaldību līdz pieteikuma par finansiālā atbalsta piešķiršanas iesniegšanas brīdim</w:t>
            </w:r>
          </w:p>
        </w:tc>
        <w:tc>
          <w:tcPr>
            <w:tcW w:w="650" w:type="pct"/>
          </w:tcPr>
          <w:p w14:paraId="78BC311C" w14:textId="77777777" w:rsidR="001A02D0" w:rsidRPr="00B57EAE" w:rsidRDefault="001A02D0" w:rsidP="00D474C9">
            <w:pPr>
              <w:jc w:val="both"/>
              <w:rPr>
                <w:rFonts w:ascii="Cambria" w:hAnsi="Cambria"/>
                <w:sz w:val="19"/>
                <w:szCs w:val="24"/>
                <w14:ligatures w14:val="standardContextual"/>
              </w:rPr>
            </w:pPr>
          </w:p>
        </w:tc>
        <w:tc>
          <w:tcPr>
            <w:tcW w:w="600" w:type="pct"/>
          </w:tcPr>
          <w:p w14:paraId="66B506DD" w14:textId="77777777" w:rsidR="001A02D0" w:rsidRPr="00B57EAE" w:rsidRDefault="001A02D0" w:rsidP="00D474C9">
            <w:pPr>
              <w:jc w:val="both"/>
              <w:rPr>
                <w:rFonts w:ascii="Cambria" w:hAnsi="Cambria"/>
                <w:sz w:val="19"/>
                <w:szCs w:val="24"/>
                <w14:ligatures w14:val="standardContextual"/>
              </w:rPr>
            </w:pPr>
          </w:p>
        </w:tc>
      </w:tr>
      <w:tr w:rsidR="001A02D0" w:rsidRPr="00B57EAE" w14:paraId="4C5F4AFA" w14:textId="77777777" w:rsidTr="00D474C9">
        <w:tc>
          <w:tcPr>
            <w:tcW w:w="500" w:type="pct"/>
          </w:tcPr>
          <w:p w14:paraId="169F2C30" w14:textId="77777777" w:rsidR="001A02D0" w:rsidRPr="00B57EAE" w:rsidRDefault="001A02D0" w:rsidP="00D474C9">
            <w:pPr>
              <w:jc w:val="right"/>
              <w:rPr>
                <w:rFonts w:ascii="Cambria" w:hAnsi="Cambria"/>
                <w:sz w:val="19"/>
                <w:szCs w:val="24"/>
                <w14:ligatures w14:val="standardContextual"/>
              </w:rPr>
            </w:pPr>
            <w:r w:rsidRPr="00B57EAE">
              <w:rPr>
                <w:rFonts w:ascii="Cambria" w:hAnsi="Cambria"/>
                <w:sz w:val="19"/>
                <w:szCs w:val="24"/>
                <w14:ligatures w14:val="standardContextual"/>
              </w:rPr>
              <w:t>1.3.4.</w:t>
            </w:r>
          </w:p>
        </w:tc>
        <w:tc>
          <w:tcPr>
            <w:tcW w:w="3250" w:type="pct"/>
          </w:tcPr>
          <w:p w14:paraId="736EF6A4"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tai nav konstatēti būtiski pārkāpumi iepriekšējo projektu realizācijā</w:t>
            </w:r>
          </w:p>
        </w:tc>
        <w:tc>
          <w:tcPr>
            <w:tcW w:w="650" w:type="pct"/>
          </w:tcPr>
          <w:p w14:paraId="02F8DD2E" w14:textId="77777777" w:rsidR="001A02D0" w:rsidRPr="00B57EAE" w:rsidRDefault="001A02D0" w:rsidP="00D474C9">
            <w:pPr>
              <w:jc w:val="both"/>
              <w:rPr>
                <w:rFonts w:ascii="Cambria" w:hAnsi="Cambria"/>
                <w:sz w:val="19"/>
                <w:szCs w:val="24"/>
                <w14:ligatures w14:val="standardContextual"/>
              </w:rPr>
            </w:pPr>
          </w:p>
        </w:tc>
        <w:tc>
          <w:tcPr>
            <w:tcW w:w="600" w:type="pct"/>
          </w:tcPr>
          <w:p w14:paraId="2049DAE5" w14:textId="77777777" w:rsidR="001A02D0" w:rsidRPr="00B57EAE" w:rsidRDefault="001A02D0" w:rsidP="00D474C9">
            <w:pPr>
              <w:jc w:val="both"/>
              <w:rPr>
                <w:rFonts w:ascii="Cambria" w:hAnsi="Cambria"/>
                <w:sz w:val="19"/>
                <w:szCs w:val="24"/>
                <w14:ligatures w14:val="standardContextual"/>
              </w:rPr>
            </w:pPr>
          </w:p>
        </w:tc>
      </w:tr>
      <w:tr w:rsidR="001A02D0" w:rsidRPr="00B57EAE" w14:paraId="164D8901" w14:textId="77777777" w:rsidTr="00D474C9">
        <w:tc>
          <w:tcPr>
            <w:tcW w:w="500" w:type="pct"/>
          </w:tcPr>
          <w:p w14:paraId="7ECC23BF" w14:textId="77777777" w:rsidR="001A02D0" w:rsidRPr="00B57EAE" w:rsidRDefault="001A02D0" w:rsidP="00D474C9">
            <w:pPr>
              <w:jc w:val="right"/>
              <w:rPr>
                <w:rFonts w:ascii="Cambria" w:hAnsi="Cambria"/>
                <w:sz w:val="19"/>
                <w:szCs w:val="24"/>
                <w14:ligatures w14:val="standardContextual"/>
              </w:rPr>
            </w:pPr>
            <w:r w:rsidRPr="00B57EAE">
              <w:rPr>
                <w:rFonts w:ascii="Cambria" w:hAnsi="Cambria"/>
                <w:sz w:val="19"/>
                <w:szCs w:val="24"/>
                <w14:ligatures w14:val="standardContextual"/>
              </w:rPr>
              <w:t>1.3.5.</w:t>
            </w:r>
          </w:p>
        </w:tc>
        <w:tc>
          <w:tcPr>
            <w:tcW w:w="3250" w:type="pct"/>
          </w:tcPr>
          <w:p w14:paraId="788448CD"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tai nav ierosināta tiesiskās aizsardzības procesa lieta, netiek īstenots tiesiskās aizsardzības process vai tai nav pasludināts maksātnespējas process</w:t>
            </w:r>
          </w:p>
        </w:tc>
        <w:tc>
          <w:tcPr>
            <w:tcW w:w="650" w:type="pct"/>
          </w:tcPr>
          <w:p w14:paraId="05E9C867" w14:textId="77777777" w:rsidR="001A02D0" w:rsidRPr="00B57EAE" w:rsidRDefault="001A02D0" w:rsidP="00D474C9">
            <w:pPr>
              <w:jc w:val="both"/>
              <w:rPr>
                <w:rFonts w:ascii="Cambria" w:hAnsi="Cambria"/>
                <w:sz w:val="19"/>
                <w:szCs w:val="24"/>
                <w14:ligatures w14:val="standardContextual"/>
              </w:rPr>
            </w:pPr>
          </w:p>
        </w:tc>
        <w:tc>
          <w:tcPr>
            <w:tcW w:w="600" w:type="pct"/>
          </w:tcPr>
          <w:p w14:paraId="74B9C87E" w14:textId="77777777" w:rsidR="001A02D0" w:rsidRPr="00B57EAE" w:rsidRDefault="001A02D0" w:rsidP="00D474C9">
            <w:pPr>
              <w:jc w:val="both"/>
              <w:rPr>
                <w:rFonts w:ascii="Cambria" w:hAnsi="Cambria"/>
                <w:sz w:val="19"/>
                <w:szCs w:val="24"/>
                <w14:ligatures w14:val="standardContextual"/>
              </w:rPr>
            </w:pPr>
          </w:p>
        </w:tc>
      </w:tr>
      <w:tr w:rsidR="001A02D0" w:rsidRPr="00B57EAE" w14:paraId="16749268" w14:textId="77777777" w:rsidTr="00D474C9">
        <w:tc>
          <w:tcPr>
            <w:tcW w:w="500" w:type="pct"/>
          </w:tcPr>
          <w:p w14:paraId="378DAF53" w14:textId="77777777" w:rsidR="001A02D0" w:rsidRPr="00B57EAE" w:rsidRDefault="001A02D0" w:rsidP="00D474C9">
            <w:pPr>
              <w:jc w:val="center"/>
              <w:rPr>
                <w:rFonts w:ascii="Cambria" w:hAnsi="Cambria"/>
                <w:sz w:val="19"/>
                <w:szCs w:val="24"/>
                <w14:ligatures w14:val="standardContextual"/>
              </w:rPr>
            </w:pPr>
            <w:r w:rsidRPr="00B57EAE">
              <w:rPr>
                <w:rFonts w:ascii="Cambria" w:hAnsi="Cambria"/>
                <w:sz w:val="19"/>
                <w:szCs w:val="24"/>
                <w14:ligatures w14:val="standardContextual"/>
              </w:rPr>
              <w:t>1.4.</w:t>
            </w:r>
          </w:p>
        </w:tc>
        <w:tc>
          <w:tcPr>
            <w:tcW w:w="3250" w:type="pct"/>
          </w:tcPr>
          <w:p w14:paraId="518BD353"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Projekta pieteikums atbilst noteikumos noteiktajiem mērķiem un jomām</w:t>
            </w:r>
          </w:p>
        </w:tc>
        <w:tc>
          <w:tcPr>
            <w:tcW w:w="650" w:type="pct"/>
          </w:tcPr>
          <w:p w14:paraId="7C36FEA0" w14:textId="77777777" w:rsidR="001A02D0" w:rsidRPr="00B57EAE" w:rsidRDefault="001A02D0" w:rsidP="00D474C9">
            <w:pPr>
              <w:jc w:val="both"/>
              <w:rPr>
                <w:rFonts w:ascii="Cambria" w:hAnsi="Cambria"/>
                <w:sz w:val="19"/>
                <w:szCs w:val="24"/>
                <w14:ligatures w14:val="standardContextual"/>
              </w:rPr>
            </w:pPr>
          </w:p>
        </w:tc>
        <w:tc>
          <w:tcPr>
            <w:tcW w:w="600" w:type="pct"/>
          </w:tcPr>
          <w:p w14:paraId="64D33A68" w14:textId="77777777" w:rsidR="001A02D0" w:rsidRPr="00B57EAE" w:rsidRDefault="001A02D0" w:rsidP="00D474C9">
            <w:pPr>
              <w:jc w:val="both"/>
              <w:rPr>
                <w:rFonts w:ascii="Cambria" w:hAnsi="Cambria"/>
                <w:sz w:val="19"/>
                <w:szCs w:val="24"/>
                <w14:ligatures w14:val="standardContextual"/>
              </w:rPr>
            </w:pPr>
          </w:p>
        </w:tc>
      </w:tr>
      <w:tr w:rsidR="001A02D0" w:rsidRPr="00B57EAE" w14:paraId="08F54453" w14:textId="77777777" w:rsidTr="00D474C9">
        <w:tc>
          <w:tcPr>
            <w:tcW w:w="500" w:type="pct"/>
          </w:tcPr>
          <w:p w14:paraId="11216578" w14:textId="77777777" w:rsidR="001A02D0" w:rsidRPr="00B57EAE" w:rsidRDefault="001A02D0" w:rsidP="00D474C9">
            <w:pPr>
              <w:jc w:val="center"/>
              <w:rPr>
                <w:rFonts w:ascii="Cambria" w:hAnsi="Cambria"/>
                <w:sz w:val="19"/>
                <w:szCs w:val="24"/>
                <w14:ligatures w14:val="standardContextual"/>
              </w:rPr>
            </w:pPr>
            <w:r w:rsidRPr="00B57EAE">
              <w:rPr>
                <w:rFonts w:ascii="Cambria" w:hAnsi="Cambria"/>
                <w:sz w:val="19"/>
                <w:szCs w:val="24"/>
                <w14:ligatures w14:val="standardContextual"/>
              </w:rPr>
              <w:t>1.5.</w:t>
            </w:r>
          </w:p>
        </w:tc>
        <w:tc>
          <w:tcPr>
            <w:tcW w:w="3250" w:type="pct"/>
          </w:tcPr>
          <w:p w14:paraId="493E5D39"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Projektā nav paredzēta politisku, militāru vai reliģisku aktivitāšu rīkošana vai līdzdalība tajās</w:t>
            </w:r>
          </w:p>
        </w:tc>
        <w:tc>
          <w:tcPr>
            <w:tcW w:w="650" w:type="pct"/>
          </w:tcPr>
          <w:p w14:paraId="788B291F" w14:textId="77777777" w:rsidR="001A02D0" w:rsidRPr="00B57EAE" w:rsidRDefault="001A02D0" w:rsidP="00D474C9">
            <w:pPr>
              <w:jc w:val="both"/>
              <w:rPr>
                <w:rFonts w:ascii="Cambria" w:hAnsi="Cambria"/>
                <w:sz w:val="19"/>
                <w:szCs w:val="24"/>
                <w14:ligatures w14:val="standardContextual"/>
              </w:rPr>
            </w:pPr>
          </w:p>
        </w:tc>
        <w:tc>
          <w:tcPr>
            <w:tcW w:w="600" w:type="pct"/>
          </w:tcPr>
          <w:p w14:paraId="0DB58D2A" w14:textId="77777777" w:rsidR="001A02D0" w:rsidRPr="00B57EAE" w:rsidRDefault="001A02D0" w:rsidP="00D474C9">
            <w:pPr>
              <w:jc w:val="both"/>
              <w:rPr>
                <w:rFonts w:ascii="Cambria" w:hAnsi="Cambria"/>
                <w:sz w:val="19"/>
                <w:szCs w:val="24"/>
                <w14:ligatures w14:val="standardContextual"/>
              </w:rPr>
            </w:pPr>
          </w:p>
        </w:tc>
      </w:tr>
      <w:tr w:rsidR="001A02D0" w:rsidRPr="00B57EAE" w14:paraId="5E328655" w14:textId="77777777" w:rsidTr="00D474C9">
        <w:tc>
          <w:tcPr>
            <w:tcW w:w="500" w:type="pct"/>
          </w:tcPr>
          <w:p w14:paraId="444AE33E" w14:textId="77777777" w:rsidR="001A02D0" w:rsidRPr="00B57EAE" w:rsidRDefault="001A02D0" w:rsidP="00D474C9">
            <w:pPr>
              <w:jc w:val="center"/>
              <w:rPr>
                <w:rFonts w:ascii="Cambria" w:hAnsi="Cambria"/>
                <w:sz w:val="19"/>
                <w:szCs w:val="24"/>
                <w14:ligatures w14:val="standardContextual"/>
              </w:rPr>
            </w:pPr>
            <w:r w:rsidRPr="00B57EAE">
              <w:rPr>
                <w:rFonts w:ascii="Cambria" w:hAnsi="Cambria"/>
                <w:sz w:val="19"/>
                <w:szCs w:val="24"/>
                <w14:ligatures w14:val="standardContextual"/>
              </w:rPr>
              <w:t>1.6.</w:t>
            </w:r>
          </w:p>
        </w:tc>
        <w:tc>
          <w:tcPr>
            <w:tcW w:w="3250" w:type="pct"/>
          </w:tcPr>
          <w:p w14:paraId="07FC991E"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Pašvaldības finansējums Projekta īstenošanai nekvalificējams kā komercdarbības atbalsts Komercdarbības atbalsta kontroles likuma izpratnē</w:t>
            </w:r>
          </w:p>
        </w:tc>
        <w:tc>
          <w:tcPr>
            <w:tcW w:w="650" w:type="pct"/>
          </w:tcPr>
          <w:p w14:paraId="008AD457" w14:textId="77777777" w:rsidR="001A02D0" w:rsidRPr="00B57EAE" w:rsidRDefault="001A02D0" w:rsidP="00D474C9">
            <w:pPr>
              <w:jc w:val="both"/>
              <w:rPr>
                <w:rFonts w:ascii="Cambria" w:hAnsi="Cambria"/>
                <w:sz w:val="19"/>
                <w:szCs w:val="24"/>
                <w14:ligatures w14:val="standardContextual"/>
              </w:rPr>
            </w:pPr>
          </w:p>
        </w:tc>
        <w:tc>
          <w:tcPr>
            <w:tcW w:w="600" w:type="pct"/>
          </w:tcPr>
          <w:p w14:paraId="6900C92C" w14:textId="77777777" w:rsidR="001A02D0" w:rsidRPr="00B57EAE" w:rsidRDefault="001A02D0" w:rsidP="00D474C9">
            <w:pPr>
              <w:jc w:val="both"/>
              <w:rPr>
                <w:rFonts w:ascii="Cambria" w:hAnsi="Cambria"/>
                <w:sz w:val="19"/>
                <w:szCs w:val="24"/>
                <w14:ligatures w14:val="standardContextual"/>
              </w:rPr>
            </w:pPr>
          </w:p>
        </w:tc>
      </w:tr>
      <w:tr w:rsidR="001A02D0" w:rsidRPr="00B57EAE" w14:paraId="7891C9CE" w14:textId="77777777" w:rsidTr="00D474C9">
        <w:tc>
          <w:tcPr>
            <w:tcW w:w="500" w:type="pct"/>
          </w:tcPr>
          <w:p w14:paraId="53585F04" w14:textId="77777777" w:rsidR="001A02D0" w:rsidRPr="00B57EAE" w:rsidRDefault="001A02D0" w:rsidP="00D474C9">
            <w:pPr>
              <w:jc w:val="center"/>
              <w:rPr>
                <w:rFonts w:ascii="Cambria" w:hAnsi="Cambria"/>
                <w:sz w:val="19"/>
                <w:szCs w:val="24"/>
                <w14:ligatures w14:val="standardContextual"/>
              </w:rPr>
            </w:pPr>
            <w:r w:rsidRPr="00B57EAE">
              <w:rPr>
                <w:rFonts w:ascii="Cambria" w:hAnsi="Cambria"/>
                <w:sz w:val="19"/>
                <w:szCs w:val="24"/>
                <w14:ligatures w14:val="standardContextual"/>
              </w:rPr>
              <w:t>1.7.</w:t>
            </w:r>
          </w:p>
        </w:tc>
        <w:tc>
          <w:tcPr>
            <w:tcW w:w="3250" w:type="pct"/>
          </w:tcPr>
          <w:p w14:paraId="00420B20"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 xml:space="preserve">Projekta īstenošanas un pasākumu rīkošanas ietvaros netiek noteikta dalības maksa vai gūti ienākumi, </w:t>
            </w:r>
            <w:r w:rsidRPr="00B57EAE">
              <w:rPr>
                <w:rFonts w:ascii="Cambria" w:hAnsi="Cambria"/>
                <w:sz w:val="19"/>
                <w:szCs w:val="24"/>
              </w:rPr>
              <w:t>kas vērsti uz komerciālu peļņas gūšanu</w:t>
            </w:r>
          </w:p>
        </w:tc>
        <w:tc>
          <w:tcPr>
            <w:tcW w:w="650" w:type="pct"/>
          </w:tcPr>
          <w:p w14:paraId="00B188F8" w14:textId="77777777" w:rsidR="001A02D0" w:rsidRPr="00B57EAE" w:rsidRDefault="001A02D0" w:rsidP="00D474C9">
            <w:pPr>
              <w:jc w:val="both"/>
              <w:rPr>
                <w:rFonts w:ascii="Cambria" w:hAnsi="Cambria"/>
                <w:sz w:val="19"/>
                <w:szCs w:val="24"/>
                <w14:ligatures w14:val="standardContextual"/>
              </w:rPr>
            </w:pPr>
          </w:p>
        </w:tc>
        <w:tc>
          <w:tcPr>
            <w:tcW w:w="600" w:type="pct"/>
          </w:tcPr>
          <w:p w14:paraId="35E04A5E" w14:textId="77777777" w:rsidR="001A02D0" w:rsidRPr="00B57EAE" w:rsidRDefault="001A02D0" w:rsidP="00D474C9">
            <w:pPr>
              <w:jc w:val="both"/>
              <w:rPr>
                <w:rFonts w:ascii="Cambria" w:hAnsi="Cambria"/>
                <w:sz w:val="19"/>
                <w:szCs w:val="24"/>
                <w14:ligatures w14:val="standardContextual"/>
              </w:rPr>
            </w:pPr>
          </w:p>
        </w:tc>
      </w:tr>
      <w:tr w:rsidR="001A02D0" w:rsidRPr="00B57EAE" w14:paraId="04BCE4C4" w14:textId="77777777" w:rsidTr="00D474C9">
        <w:tc>
          <w:tcPr>
            <w:tcW w:w="500" w:type="pct"/>
          </w:tcPr>
          <w:p w14:paraId="0BF7D834" w14:textId="77777777" w:rsidR="001A02D0" w:rsidRPr="00B57EAE" w:rsidRDefault="001A02D0" w:rsidP="00D474C9">
            <w:pPr>
              <w:jc w:val="center"/>
              <w:rPr>
                <w:rFonts w:ascii="Cambria" w:hAnsi="Cambria"/>
                <w:sz w:val="19"/>
                <w:szCs w:val="24"/>
                <w14:ligatures w14:val="standardContextual"/>
              </w:rPr>
            </w:pPr>
            <w:r w:rsidRPr="00B57EAE">
              <w:rPr>
                <w:rFonts w:ascii="Cambria" w:hAnsi="Cambria"/>
                <w:sz w:val="19"/>
                <w:szCs w:val="24"/>
                <w14:ligatures w14:val="standardContextual"/>
              </w:rPr>
              <w:t>1.8.</w:t>
            </w:r>
          </w:p>
        </w:tc>
        <w:tc>
          <w:tcPr>
            <w:tcW w:w="3250" w:type="pct"/>
          </w:tcPr>
          <w:p w14:paraId="3E2DF9D0"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Projekta aktivitātes pašvaldība neatbalsta finansiāli citā veidā</w:t>
            </w:r>
          </w:p>
        </w:tc>
        <w:tc>
          <w:tcPr>
            <w:tcW w:w="650" w:type="pct"/>
          </w:tcPr>
          <w:p w14:paraId="04D57FE0" w14:textId="77777777" w:rsidR="001A02D0" w:rsidRPr="00B57EAE" w:rsidRDefault="001A02D0" w:rsidP="00D474C9">
            <w:pPr>
              <w:jc w:val="both"/>
              <w:rPr>
                <w:rFonts w:ascii="Cambria" w:hAnsi="Cambria"/>
                <w:sz w:val="19"/>
                <w:szCs w:val="24"/>
                <w14:ligatures w14:val="standardContextual"/>
              </w:rPr>
            </w:pPr>
          </w:p>
        </w:tc>
        <w:tc>
          <w:tcPr>
            <w:tcW w:w="600" w:type="pct"/>
          </w:tcPr>
          <w:p w14:paraId="0D9769A7" w14:textId="77777777" w:rsidR="001A02D0" w:rsidRPr="00B57EAE" w:rsidRDefault="001A02D0" w:rsidP="00D474C9">
            <w:pPr>
              <w:jc w:val="both"/>
              <w:rPr>
                <w:rFonts w:ascii="Cambria" w:hAnsi="Cambria"/>
                <w:sz w:val="19"/>
                <w:szCs w:val="24"/>
                <w14:ligatures w14:val="standardContextual"/>
              </w:rPr>
            </w:pPr>
          </w:p>
        </w:tc>
      </w:tr>
      <w:tr w:rsidR="001A02D0" w:rsidRPr="00B57EAE" w14:paraId="031A17BA" w14:textId="77777777" w:rsidTr="00D474C9">
        <w:tc>
          <w:tcPr>
            <w:tcW w:w="0" w:type="auto"/>
            <w:gridSpan w:val="4"/>
            <w:hideMark/>
          </w:tcPr>
          <w:p w14:paraId="5DA0F66A" w14:textId="77777777" w:rsidR="001A02D0" w:rsidRPr="00B57EAE" w:rsidRDefault="001A02D0" w:rsidP="00D474C9">
            <w:pPr>
              <w:jc w:val="both"/>
              <w:rPr>
                <w:rFonts w:ascii="Cambria" w:hAnsi="Cambria"/>
                <w:sz w:val="19"/>
                <w:szCs w:val="24"/>
                <w14:ligatures w14:val="standardContextual"/>
              </w:rPr>
            </w:pPr>
            <w:r w:rsidRPr="00B57EAE">
              <w:rPr>
                <w:rFonts w:ascii="Cambria" w:hAnsi="Cambria"/>
                <w:b/>
                <w:bCs/>
                <w:i/>
                <w:iCs/>
                <w:sz w:val="19"/>
                <w:szCs w:val="24"/>
                <w14:ligatures w14:val="standardContextual"/>
              </w:rPr>
              <w:t xml:space="preserve">Ja projekta pieteikums neatbilst kādam no 1. punkta kritērijiem, tas tiek noraidīts. Ja projekta pieteikums atbilst visiem iepriekš minētajiem kritērijiem, tiek veikts projekta pieteikuma kvalitatīvais un finanšu </w:t>
            </w:r>
            <w:proofErr w:type="spellStart"/>
            <w:r w:rsidRPr="00B57EAE">
              <w:rPr>
                <w:rFonts w:ascii="Cambria" w:hAnsi="Cambria"/>
                <w:b/>
                <w:bCs/>
                <w:i/>
                <w:iCs/>
                <w:sz w:val="19"/>
                <w:szCs w:val="24"/>
                <w14:ligatures w14:val="standardContextual"/>
              </w:rPr>
              <w:t>izvērtējums</w:t>
            </w:r>
            <w:proofErr w:type="spellEnd"/>
            <w:r w:rsidRPr="00B57EAE">
              <w:rPr>
                <w:rFonts w:ascii="Cambria" w:hAnsi="Cambria"/>
                <w:b/>
                <w:bCs/>
                <w:i/>
                <w:iCs/>
                <w:sz w:val="19"/>
                <w:szCs w:val="24"/>
                <w14:ligatures w14:val="standardContextual"/>
              </w:rPr>
              <w:t>.</w:t>
            </w:r>
          </w:p>
        </w:tc>
      </w:tr>
    </w:tbl>
    <w:p w14:paraId="1B0CFE88" w14:textId="77777777" w:rsidR="001A02D0" w:rsidRPr="00EA035D" w:rsidRDefault="001A02D0" w:rsidP="001A02D0">
      <w:pPr>
        <w:spacing w:before="130" w:line="260" w:lineRule="exact"/>
        <w:jc w:val="both"/>
        <w:rPr>
          <w:rFonts w:ascii="Cambria" w:hAnsi="Cambria"/>
          <w:b/>
          <w:bCs/>
          <w:sz w:val="19"/>
          <w:szCs w:val="24"/>
          <w:u w:val="single"/>
        </w:rPr>
      </w:pPr>
    </w:p>
    <w:p w14:paraId="5C8D7795" w14:textId="77777777" w:rsidR="001A02D0" w:rsidRPr="00EA035D" w:rsidRDefault="001A02D0" w:rsidP="001A02D0">
      <w:pPr>
        <w:spacing w:before="130" w:after="60" w:line="260" w:lineRule="exact"/>
        <w:jc w:val="both"/>
        <w:rPr>
          <w:rFonts w:ascii="Cambria" w:eastAsia="Times New Roman" w:hAnsi="Cambria"/>
          <w:b/>
          <w:bCs/>
          <w:sz w:val="19"/>
          <w:szCs w:val="24"/>
          <w:u w:val="single"/>
          <w:lang w:eastAsia="lv-LV"/>
        </w:rPr>
      </w:pPr>
      <w:r w:rsidRPr="00EA035D">
        <w:rPr>
          <w:rFonts w:ascii="Cambria" w:hAnsi="Cambria"/>
          <w:b/>
          <w:bCs/>
          <w:sz w:val="19"/>
          <w:szCs w:val="24"/>
          <w:u w:val="single"/>
        </w:rPr>
        <w:t>2. Kvalitatīvo rādītāju un finanšu izvērtēšanas kritēriji</w:t>
      </w:r>
    </w:p>
    <w:tbl>
      <w:tblPr>
        <w:tblW w:w="5000" w:type="pct"/>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CellMar>
          <w:top w:w="28" w:type="dxa"/>
          <w:left w:w="28" w:type="dxa"/>
          <w:bottom w:w="28" w:type="dxa"/>
          <w:right w:w="28" w:type="dxa"/>
        </w:tblCellMar>
        <w:tblLook w:val="04A0" w:firstRow="1" w:lastRow="0" w:firstColumn="1" w:lastColumn="0" w:noHBand="0" w:noVBand="1"/>
      </w:tblPr>
      <w:tblGrid>
        <w:gridCol w:w="764"/>
        <w:gridCol w:w="2712"/>
        <w:gridCol w:w="1374"/>
        <w:gridCol w:w="3780"/>
      </w:tblGrid>
      <w:tr w:rsidR="001A02D0" w:rsidRPr="00B57EAE" w14:paraId="46736FAE" w14:textId="77777777" w:rsidTr="00D474C9">
        <w:tc>
          <w:tcPr>
            <w:tcW w:w="443" w:type="pct"/>
            <w:vAlign w:val="center"/>
            <w:hideMark/>
          </w:tcPr>
          <w:p w14:paraId="3A31673F" w14:textId="77777777" w:rsidR="001A02D0" w:rsidRPr="00B57EAE" w:rsidRDefault="001A02D0" w:rsidP="00D474C9">
            <w:pPr>
              <w:jc w:val="center"/>
              <w:rPr>
                <w:rFonts w:ascii="Cambria" w:hAnsi="Cambria"/>
                <w:b/>
                <w:bCs/>
                <w:sz w:val="19"/>
                <w:szCs w:val="24"/>
                <w14:ligatures w14:val="standardContextual"/>
              </w:rPr>
            </w:pPr>
            <w:r w:rsidRPr="00B57EAE">
              <w:rPr>
                <w:rFonts w:ascii="Cambria" w:hAnsi="Cambria"/>
                <w:b/>
                <w:bCs/>
                <w:sz w:val="19"/>
                <w:szCs w:val="24"/>
                <w14:ligatures w14:val="standardContextual"/>
              </w:rPr>
              <w:t>Nr. p.k.</w:t>
            </w:r>
          </w:p>
        </w:tc>
        <w:tc>
          <w:tcPr>
            <w:tcW w:w="1571" w:type="pct"/>
            <w:vAlign w:val="center"/>
            <w:hideMark/>
          </w:tcPr>
          <w:p w14:paraId="1452A6BE" w14:textId="77777777" w:rsidR="001A02D0" w:rsidRPr="00B57EAE" w:rsidRDefault="001A02D0" w:rsidP="00D474C9">
            <w:pPr>
              <w:jc w:val="center"/>
              <w:rPr>
                <w:rFonts w:ascii="Cambria" w:hAnsi="Cambria"/>
                <w:b/>
                <w:bCs/>
                <w:sz w:val="19"/>
                <w:szCs w:val="24"/>
                <w14:ligatures w14:val="standardContextual"/>
              </w:rPr>
            </w:pPr>
            <w:r w:rsidRPr="00B57EAE">
              <w:rPr>
                <w:rFonts w:ascii="Cambria" w:hAnsi="Cambria"/>
                <w:b/>
                <w:bCs/>
                <w:sz w:val="19"/>
                <w:szCs w:val="24"/>
                <w14:ligatures w14:val="standardContextual"/>
              </w:rPr>
              <w:t>Kritērijs</w:t>
            </w:r>
          </w:p>
        </w:tc>
        <w:tc>
          <w:tcPr>
            <w:tcW w:w="796" w:type="pct"/>
            <w:hideMark/>
          </w:tcPr>
          <w:p w14:paraId="41D38C1C" w14:textId="77777777" w:rsidR="001A02D0" w:rsidRPr="00B57EAE" w:rsidRDefault="001A02D0" w:rsidP="00D474C9">
            <w:pPr>
              <w:jc w:val="center"/>
              <w:rPr>
                <w:rFonts w:ascii="Cambria" w:hAnsi="Cambria"/>
                <w:b/>
                <w:bCs/>
                <w:sz w:val="19"/>
                <w:szCs w:val="24"/>
                <w14:ligatures w14:val="standardContextual"/>
              </w:rPr>
            </w:pPr>
            <w:r w:rsidRPr="00B57EAE">
              <w:rPr>
                <w:rFonts w:ascii="Cambria" w:hAnsi="Cambria"/>
                <w:b/>
                <w:bCs/>
                <w:sz w:val="19"/>
                <w:szCs w:val="24"/>
                <w14:ligatures w14:val="standardContextual"/>
              </w:rPr>
              <w:t>Iegūtais punktu skaits (no 1 līdz 3 punktiem)</w:t>
            </w:r>
          </w:p>
        </w:tc>
        <w:tc>
          <w:tcPr>
            <w:tcW w:w="2190" w:type="pct"/>
            <w:vAlign w:val="center"/>
            <w:hideMark/>
          </w:tcPr>
          <w:p w14:paraId="6BB2D3C7" w14:textId="77777777" w:rsidR="001A02D0" w:rsidRPr="00B57EAE" w:rsidRDefault="001A02D0" w:rsidP="00D474C9">
            <w:pPr>
              <w:jc w:val="center"/>
              <w:rPr>
                <w:rFonts w:ascii="Cambria" w:hAnsi="Cambria"/>
                <w:b/>
                <w:bCs/>
                <w:sz w:val="19"/>
                <w:szCs w:val="24"/>
                <w14:ligatures w14:val="standardContextual"/>
              </w:rPr>
            </w:pPr>
            <w:r w:rsidRPr="00B57EAE">
              <w:rPr>
                <w:rFonts w:ascii="Cambria" w:eastAsia="Times New Roman" w:hAnsi="Cambria"/>
                <w:b/>
                <w:sz w:val="19"/>
                <w:szCs w:val="24"/>
              </w:rPr>
              <w:t>Vērtējuma skaidrojums</w:t>
            </w:r>
          </w:p>
        </w:tc>
      </w:tr>
      <w:tr w:rsidR="001A02D0" w:rsidRPr="00B57EAE" w14:paraId="3B75211F" w14:textId="77777777" w:rsidTr="00D474C9">
        <w:tc>
          <w:tcPr>
            <w:tcW w:w="443" w:type="pct"/>
            <w:vAlign w:val="center"/>
            <w:hideMark/>
          </w:tcPr>
          <w:p w14:paraId="55903FC0" w14:textId="77777777" w:rsidR="001A02D0" w:rsidRPr="00B57EAE" w:rsidRDefault="001A02D0" w:rsidP="00D474C9">
            <w:pPr>
              <w:jc w:val="center"/>
              <w:rPr>
                <w:rFonts w:ascii="Cambria" w:hAnsi="Cambria"/>
                <w:sz w:val="19"/>
                <w:szCs w:val="24"/>
                <w14:ligatures w14:val="standardContextual"/>
              </w:rPr>
            </w:pPr>
            <w:r w:rsidRPr="00B57EAE">
              <w:rPr>
                <w:rFonts w:ascii="Cambria" w:hAnsi="Cambria"/>
                <w:sz w:val="19"/>
                <w:szCs w:val="24"/>
                <w14:ligatures w14:val="standardContextual"/>
              </w:rPr>
              <w:t>2.1.</w:t>
            </w:r>
          </w:p>
        </w:tc>
        <w:tc>
          <w:tcPr>
            <w:tcW w:w="1571" w:type="pct"/>
            <w:vAlign w:val="center"/>
          </w:tcPr>
          <w:p w14:paraId="19EA84EA"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Projekta nozīmīgums:</w:t>
            </w:r>
          </w:p>
          <w:p w14:paraId="54F9C884" w14:textId="77777777" w:rsidR="001A02D0" w:rsidRPr="00B57EAE" w:rsidRDefault="001A02D0" w:rsidP="00D474C9">
            <w:pPr>
              <w:rPr>
                <w:rFonts w:ascii="Cambria" w:hAnsi="Cambria"/>
                <w:sz w:val="19"/>
                <w:szCs w:val="24"/>
                <w14:ligatures w14:val="standardContextual"/>
              </w:rPr>
            </w:pPr>
          </w:p>
        </w:tc>
        <w:tc>
          <w:tcPr>
            <w:tcW w:w="796" w:type="pct"/>
          </w:tcPr>
          <w:p w14:paraId="0D8E630C" w14:textId="77777777" w:rsidR="001A02D0" w:rsidRPr="00B57EAE" w:rsidRDefault="001A02D0" w:rsidP="00D474C9">
            <w:pPr>
              <w:jc w:val="both"/>
              <w:rPr>
                <w:rFonts w:ascii="Cambria" w:hAnsi="Cambria"/>
                <w:sz w:val="19"/>
                <w:szCs w:val="24"/>
                <w14:ligatures w14:val="standardContextual"/>
              </w:rPr>
            </w:pPr>
          </w:p>
        </w:tc>
        <w:tc>
          <w:tcPr>
            <w:tcW w:w="2190" w:type="pct"/>
            <w:vAlign w:val="center"/>
          </w:tcPr>
          <w:p w14:paraId="2A7A76D6"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 xml:space="preserve">Kritērijā jānovērtē, cik lielā mērā iesniegtais projekts sekmēs noteikumos noteikto mērķu </w:t>
            </w:r>
            <w:r w:rsidRPr="00B57EAE">
              <w:rPr>
                <w:rFonts w:ascii="Cambria" w:hAnsi="Cambria"/>
                <w:sz w:val="19"/>
                <w:szCs w:val="24"/>
                <w14:ligatures w14:val="standardContextual"/>
              </w:rPr>
              <w:lastRenderedPageBreak/>
              <w:t xml:space="preserve">sasniegšanu, cik tas ir nozīmīgs un aktuāls vietējā līmenī. </w:t>
            </w:r>
          </w:p>
          <w:p w14:paraId="372DC16A"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 xml:space="preserve">Punktus piešķir, atbilstoši šādai metodikai, </w:t>
            </w:r>
          </w:p>
          <w:p w14:paraId="7161D8E5"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 xml:space="preserve">-3 punkti – ja projekts vērtējams kā ļoti nozīmīgs nolikumā noteikto mērķu sasniegšanai, tā īstenošana veicinās mērķa sasniegšanu konkrētajā atbalsta jomā; </w:t>
            </w:r>
          </w:p>
          <w:p w14:paraId="51CABDC7"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 xml:space="preserve">-2 punkti – ja projekts ir daļēji nozīmīgs un tā īstenošana tikai daļēji veicinās nolikumā noteiktā mērķa sasniegšanu konkrētajā atbalsta jomā; </w:t>
            </w:r>
          </w:p>
          <w:p w14:paraId="69DF6D68"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-1 punkts – ja projekts vērtējams kā nenozīmīgs, un tam nebūs ietekmes uz mērķa sasniegšanu.</w:t>
            </w:r>
          </w:p>
        </w:tc>
      </w:tr>
      <w:tr w:rsidR="001A02D0" w:rsidRPr="00B57EAE" w14:paraId="3E3C01B8" w14:textId="77777777" w:rsidTr="00D474C9">
        <w:tc>
          <w:tcPr>
            <w:tcW w:w="443" w:type="pct"/>
            <w:vAlign w:val="center"/>
          </w:tcPr>
          <w:p w14:paraId="17848326" w14:textId="77777777" w:rsidR="001A02D0" w:rsidRPr="00B57EAE" w:rsidRDefault="001A02D0" w:rsidP="00D474C9">
            <w:pPr>
              <w:jc w:val="center"/>
              <w:rPr>
                <w:rFonts w:ascii="Cambria" w:hAnsi="Cambria"/>
                <w:sz w:val="19"/>
                <w:szCs w:val="24"/>
                <w14:ligatures w14:val="standardContextual"/>
              </w:rPr>
            </w:pPr>
            <w:r w:rsidRPr="00B57EAE">
              <w:rPr>
                <w:rFonts w:ascii="Cambria" w:hAnsi="Cambria"/>
                <w:sz w:val="19"/>
                <w:szCs w:val="24"/>
                <w14:ligatures w14:val="standardContextual"/>
              </w:rPr>
              <w:lastRenderedPageBreak/>
              <w:t>2.2.</w:t>
            </w:r>
          </w:p>
        </w:tc>
        <w:tc>
          <w:tcPr>
            <w:tcW w:w="1571" w:type="pct"/>
            <w:vAlign w:val="center"/>
          </w:tcPr>
          <w:p w14:paraId="51A7F6F6"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Projektā skaidri definēta problēma, mērķa grupa, projekta iesniedzēja vajadzības un projekta aktivitātes atbilst projekta iesniegumā norādītajam mērķim</w:t>
            </w:r>
          </w:p>
        </w:tc>
        <w:tc>
          <w:tcPr>
            <w:tcW w:w="796" w:type="pct"/>
          </w:tcPr>
          <w:p w14:paraId="33BA1103" w14:textId="77777777" w:rsidR="001A02D0" w:rsidRPr="00B57EAE" w:rsidRDefault="001A02D0" w:rsidP="00D474C9">
            <w:pPr>
              <w:jc w:val="both"/>
              <w:rPr>
                <w:rFonts w:ascii="Cambria" w:hAnsi="Cambria"/>
                <w:sz w:val="19"/>
                <w:szCs w:val="24"/>
                <w14:ligatures w14:val="standardContextual"/>
              </w:rPr>
            </w:pPr>
          </w:p>
        </w:tc>
        <w:tc>
          <w:tcPr>
            <w:tcW w:w="2190" w:type="pct"/>
            <w:vAlign w:val="center"/>
          </w:tcPr>
          <w:p w14:paraId="042B6B2C"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 xml:space="preserve">Kritērijā novērtē mērķa grupas izvēles pamatojumu un vajadzību analīzi, vai projekta tiešās mērķa grupas vajadzības ir apzinātas, cik precīzi tās ir definētas un pamatotas ar konkrētiem faktiem. Vērtējumu nesamazina, ja mērķa grupas raksturojumam un vajadzību pamatojumam nav izmantoti statistikas dati, bet iesniedzējs veicis </w:t>
            </w:r>
            <w:proofErr w:type="spellStart"/>
            <w:r w:rsidRPr="00B57EAE">
              <w:rPr>
                <w:rFonts w:ascii="Cambria" w:hAnsi="Cambria"/>
                <w:sz w:val="19"/>
                <w:szCs w:val="24"/>
                <w14:ligatures w14:val="standardContextual"/>
              </w:rPr>
              <w:t>priekšizpēti</w:t>
            </w:r>
            <w:proofErr w:type="spellEnd"/>
            <w:r w:rsidRPr="00B57EAE">
              <w:rPr>
                <w:rFonts w:ascii="Cambria" w:hAnsi="Cambria"/>
                <w:sz w:val="19"/>
                <w:szCs w:val="24"/>
                <w14:ligatures w14:val="standardContextual"/>
              </w:rPr>
              <w:t xml:space="preserve">, vai projekts balstīts uz iesniedzēja iepriekš veiktās darbības vai īstenoto projektu rezultātiem un tajos gūtajiem secinājumiem. </w:t>
            </w:r>
          </w:p>
          <w:p w14:paraId="10BB2A9D"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 xml:space="preserve">Punktus piešķir, atbilstoši šādai metodikai: </w:t>
            </w:r>
          </w:p>
          <w:p w14:paraId="775E8247"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 xml:space="preserve">-3 punkti – ja projekta iesniedzējs ir pamatojis, kādēļ izvēlēta konkrētā mērķa grupa, tās vajadzības ir apzinātas un pamatotas ar konkrētiem faktiem, un projekta īstenošana nodrošinās to risināšanu; </w:t>
            </w:r>
          </w:p>
          <w:p w14:paraId="7FB8D54D"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 xml:space="preserve">-2 punkti – ja mērķa grupa nav precīzi definēta (nav norādīts dalībnieku skaits vai sadalījums pēc noteiktajām pazīmēm); mērķa grupas vajadzības raksturotas vispārīgi un nav pietiekami detalizētas, tomēr tās ir nosakāmas no projekta pieteikumā pieejamās informācijas, un plānotās aktivitātes varētu nodrošināt to risināšanu; </w:t>
            </w:r>
          </w:p>
          <w:p w14:paraId="70DBE062" w14:textId="77777777" w:rsidR="001A02D0" w:rsidRPr="00B57EAE" w:rsidRDefault="001A02D0" w:rsidP="00D474C9">
            <w:pPr>
              <w:rPr>
                <w:rFonts w:ascii="Cambria" w:hAnsi="Cambria"/>
                <w:sz w:val="19"/>
                <w:szCs w:val="24"/>
                <w14:ligatures w14:val="standardContextual"/>
              </w:rPr>
            </w:pPr>
            <w:r w:rsidRPr="00B57EAE">
              <w:rPr>
                <w:rFonts w:ascii="Cambria" w:hAnsi="Cambria"/>
                <w:sz w:val="19"/>
                <w:szCs w:val="24"/>
                <w14:ligatures w14:val="standardContextual"/>
              </w:rPr>
              <w:t>-1 punkts – ja mērķa grupas vajadzības nav apzinātas.</w:t>
            </w:r>
          </w:p>
        </w:tc>
      </w:tr>
      <w:tr w:rsidR="001A02D0" w:rsidRPr="00B57EAE" w14:paraId="6EA9E738" w14:textId="77777777" w:rsidTr="00D474C9">
        <w:tc>
          <w:tcPr>
            <w:tcW w:w="443" w:type="pct"/>
            <w:vAlign w:val="center"/>
          </w:tcPr>
          <w:p w14:paraId="1F1ABBE6" w14:textId="77777777" w:rsidR="001A02D0" w:rsidRPr="00B57EAE" w:rsidRDefault="001A02D0" w:rsidP="00D474C9">
            <w:pPr>
              <w:jc w:val="center"/>
              <w:rPr>
                <w:rFonts w:ascii="Cambria" w:hAnsi="Cambria"/>
                <w:sz w:val="19"/>
                <w:szCs w:val="24"/>
                <w14:ligatures w14:val="standardContextual"/>
              </w:rPr>
            </w:pPr>
            <w:r w:rsidRPr="00B57EAE">
              <w:rPr>
                <w:rFonts w:ascii="Cambria" w:hAnsi="Cambria"/>
                <w:sz w:val="19"/>
                <w:szCs w:val="24"/>
                <w14:ligatures w14:val="standardContextual"/>
              </w:rPr>
              <w:t>2.3</w:t>
            </w:r>
          </w:p>
        </w:tc>
        <w:tc>
          <w:tcPr>
            <w:tcW w:w="1571" w:type="pct"/>
            <w:vAlign w:val="center"/>
          </w:tcPr>
          <w:p w14:paraId="5FA7280A"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Projekta aktivitātes ir atbilstošas, praktiskas un piemērotas plānoto mērķu un rezultātu sasniegšanai.</w:t>
            </w:r>
          </w:p>
        </w:tc>
        <w:tc>
          <w:tcPr>
            <w:tcW w:w="796" w:type="pct"/>
          </w:tcPr>
          <w:p w14:paraId="2AB7FE65" w14:textId="77777777" w:rsidR="001A02D0" w:rsidRPr="00B57EAE" w:rsidRDefault="001A02D0" w:rsidP="00D474C9">
            <w:pPr>
              <w:jc w:val="both"/>
              <w:rPr>
                <w:rFonts w:ascii="Cambria" w:hAnsi="Cambria"/>
                <w:sz w:val="19"/>
                <w:szCs w:val="24"/>
                <w14:ligatures w14:val="standardContextual"/>
              </w:rPr>
            </w:pPr>
          </w:p>
        </w:tc>
        <w:tc>
          <w:tcPr>
            <w:tcW w:w="2190" w:type="pct"/>
            <w:vAlign w:val="center"/>
          </w:tcPr>
          <w:p w14:paraId="6FA73EB5"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Kritērijā novērtē, vai projektā paredzētās aktivitātes ir nepieciešamas un pietiekamas projektā izvirzīto mērķu sasniegšanai. Novērtē projekta īstenošanas laika grafiku, cik tas ir loģiski izstrādāts, skaidrs, pārskatāms un reāli izpildāms un vai atbilst noteikumu nosacījumiem.</w:t>
            </w:r>
          </w:p>
          <w:p w14:paraId="7E1D93AC"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 xml:space="preserve">Projekta aktivitātes jārealizē Ķekavas novada administratīvajā teritorijā, un ieguvējiem no projekta rezultātiem jābūt Ķekavas novada administratīvās teritorijas iedzīvotājiem. Atsevišķas projekta aktivitātes var īstenot ārpus Ķekavas novada administratīvās teritorijas, ja tās ir nepieciešamas projekta </w:t>
            </w:r>
            <w:r w:rsidRPr="00B57EAE">
              <w:rPr>
                <w:rFonts w:ascii="Cambria" w:eastAsia="Times New Roman" w:hAnsi="Cambria"/>
                <w:color w:val="000000"/>
                <w:sz w:val="19"/>
                <w:szCs w:val="24"/>
                <w:lang w:eastAsia="lv-LV"/>
              </w:rPr>
              <w:lastRenderedPageBreak/>
              <w:t xml:space="preserve">mērķu sasniegšanai un attiecīgi pamatotas projekta pieteikumā. </w:t>
            </w:r>
          </w:p>
          <w:p w14:paraId="4FB7194E"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 xml:space="preserve">Punktus piešķir, atbilstoši šādai metodikai: </w:t>
            </w:r>
          </w:p>
          <w:p w14:paraId="3E52ADDD"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b/>
                <w:bCs/>
                <w:color w:val="000000"/>
                <w:sz w:val="19"/>
                <w:szCs w:val="24"/>
                <w:lang w:eastAsia="lv-LV"/>
              </w:rPr>
              <w:t>-</w:t>
            </w:r>
            <w:r w:rsidRPr="00B57EAE">
              <w:rPr>
                <w:rFonts w:ascii="Cambria" w:eastAsia="Times New Roman" w:hAnsi="Cambria"/>
                <w:color w:val="000000"/>
                <w:sz w:val="19"/>
                <w:szCs w:val="24"/>
                <w:lang w:eastAsia="lv-LV"/>
              </w:rPr>
              <w:t>3 punkti</w:t>
            </w:r>
            <w:r w:rsidRPr="00B57EAE">
              <w:rPr>
                <w:rFonts w:ascii="Cambria" w:eastAsia="Times New Roman" w:hAnsi="Cambria"/>
                <w:b/>
                <w:bCs/>
                <w:color w:val="000000"/>
                <w:sz w:val="19"/>
                <w:szCs w:val="24"/>
                <w:lang w:eastAsia="lv-LV"/>
              </w:rPr>
              <w:t xml:space="preserve"> –</w:t>
            </w:r>
            <w:r w:rsidRPr="00B57EAE">
              <w:rPr>
                <w:rFonts w:ascii="Cambria" w:eastAsia="Times New Roman" w:hAnsi="Cambria"/>
                <w:color w:val="000000"/>
                <w:sz w:val="19"/>
                <w:szCs w:val="24"/>
                <w:lang w:eastAsia="lv-LV"/>
              </w:rPr>
              <w:t xml:space="preserve"> ja visas paredzētās aktivitātes atbilst noteikumu prasībām un tajā norādītajām atbalstāmajām aktivitātēm, un tās nodrošinās projektā izvirzīto mērķu sasniegšanu; tās ir atbilstošas izvēlētās mērķa grupas vajadzību risināšanai; to laika plānojums ir optimāls, loģisks un reāli izpildāms. </w:t>
            </w:r>
          </w:p>
          <w:p w14:paraId="04E4B9AD"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-2 punkti</w:t>
            </w:r>
            <w:r w:rsidRPr="00B57EAE">
              <w:rPr>
                <w:rFonts w:ascii="Cambria" w:eastAsia="Times New Roman" w:hAnsi="Cambria"/>
                <w:b/>
                <w:bCs/>
                <w:color w:val="000000"/>
                <w:sz w:val="19"/>
                <w:szCs w:val="24"/>
                <w:lang w:eastAsia="lv-LV"/>
              </w:rPr>
              <w:t xml:space="preserve"> </w:t>
            </w:r>
            <w:r w:rsidRPr="00B57EAE">
              <w:rPr>
                <w:rFonts w:ascii="Cambria" w:eastAsia="Times New Roman" w:hAnsi="Cambria"/>
                <w:color w:val="000000"/>
                <w:sz w:val="19"/>
                <w:szCs w:val="24"/>
                <w:lang w:eastAsia="lv-LV"/>
              </w:rPr>
              <w:t xml:space="preserve">– ja sniegtais aktivitāšu apraksts ir pārāk vispārīgs un nekonkrēts (piemēram, norādīti tikai aktivitāšu nosaukumi), tomēr no pieejamās informācijas iespējams secināt, ka paredzētās aktivitātes kopumā atbilst projekta mērķim un noteikumu noteiktajām atbalstāmajām aktivitātēm, un risinās izvēlētās mērķa grupas vajadzības. Projektā iekļautas atsevišķas aktivitātes, kas neatbilst noteikumu noteiktajām atbalstāmajām aktivitātēm, nav nepieciešamas projekta mērķu sasniegšanai vai mērķa grupas vajadzību risināšanai, un būtu jāizslēdz (vērtētājam konkrēti jānorāda, kuras). Projekta īstenošanas laika grafikā nav iekļautas visas aktivitātes vai atsevišķu aktivitāšu laika plānojums, nav pietiekami optimāls, kas var ietekmēt kopējo projekta īstenošanas ilgumu; </w:t>
            </w:r>
          </w:p>
          <w:p w14:paraId="55B3D2C6"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 xml:space="preserve">-1 punkts – ja norādītā informācija nav pietiekama, lai izvērtētu aktivitāšu atbilstību, nepieciešamību un laika plānojumu. Paredzētās aktivitātes neatbilst projekta mērķim vai noteikumos noteiktajām atbalstāmajām aktivitātēm un laika grafikam. </w:t>
            </w:r>
          </w:p>
        </w:tc>
      </w:tr>
      <w:tr w:rsidR="001A02D0" w:rsidRPr="00B57EAE" w14:paraId="4B696D98" w14:textId="77777777" w:rsidTr="00D474C9">
        <w:tc>
          <w:tcPr>
            <w:tcW w:w="443" w:type="pct"/>
            <w:vAlign w:val="center"/>
          </w:tcPr>
          <w:p w14:paraId="071841C3" w14:textId="77777777" w:rsidR="001A02D0" w:rsidRPr="00B57EAE" w:rsidRDefault="001A02D0" w:rsidP="00D474C9">
            <w:pPr>
              <w:jc w:val="center"/>
              <w:rPr>
                <w:rFonts w:ascii="Cambria" w:hAnsi="Cambria"/>
                <w:sz w:val="19"/>
                <w:szCs w:val="24"/>
                <w14:ligatures w14:val="standardContextual"/>
              </w:rPr>
            </w:pPr>
            <w:r w:rsidRPr="00B57EAE">
              <w:rPr>
                <w:rFonts w:ascii="Cambria" w:hAnsi="Cambria"/>
                <w:sz w:val="19"/>
                <w:szCs w:val="24"/>
                <w14:ligatures w14:val="standardContextual"/>
              </w:rPr>
              <w:lastRenderedPageBreak/>
              <w:t>2.4.</w:t>
            </w:r>
          </w:p>
        </w:tc>
        <w:tc>
          <w:tcPr>
            <w:tcW w:w="1571" w:type="pct"/>
            <w:vAlign w:val="center"/>
          </w:tcPr>
          <w:p w14:paraId="489F9767"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Projekts sniedz praktisku un pārbaudāmu atbalstu mērķa grupai, tas paredz ilgstošu ietekmi uz mērķa grupu pēc projekta īstenošanas</w:t>
            </w:r>
          </w:p>
        </w:tc>
        <w:tc>
          <w:tcPr>
            <w:tcW w:w="796" w:type="pct"/>
          </w:tcPr>
          <w:p w14:paraId="2D8021C9" w14:textId="77777777" w:rsidR="001A02D0" w:rsidRPr="00B57EAE" w:rsidRDefault="001A02D0" w:rsidP="00D474C9">
            <w:pPr>
              <w:jc w:val="both"/>
              <w:rPr>
                <w:rFonts w:ascii="Cambria" w:hAnsi="Cambria"/>
                <w:sz w:val="19"/>
                <w:szCs w:val="24"/>
                <w14:ligatures w14:val="standardContextual"/>
              </w:rPr>
            </w:pPr>
          </w:p>
        </w:tc>
        <w:tc>
          <w:tcPr>
            <w:tcW w:w="2190" w:type="pct"/>
            <w:vAlign w:val="center"/>
          </w:tcPr>
          <w:p w14:paraId="279CEDEB"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 xml:space="preserve">Projekta rezultātu ilgtspēju vērtē, atkarībā no tā specifikas un atbalsta jomas, kurā projekts tiek realizēts. Ņem vērā, vai projekta iesniedzējs plānojis pavairot un izplatīt projekta laikā izstrādātos projekta rezultātus, un kādi ir rezultātu izplatīšanas paņēmieni, kā tos plānots izmantot, un vai tie būs noderīgi un pieejami citām attiecīgās jomas organizācijām vai mērķa grupām. </w:t>
            </w:r>
          </w:p>
          <w:p w14:paraId="4A60184D"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 xml:space="preserve">Punktus piešķir, atbilstoši šādai metodikai: </w:t>
            </w:r>
          </w:p>
          <w:p w14:paraId="63912A32"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 xml:space="preserve">-3 punkti – ja projektā detalizēti aprakstīts vismaz viens projekta rezultātu ilgtspējas aspekts un tas ir pietiekams konkrētā projekta kontekstā, norādītie ilgtspējas nodrošināšanas nosacījumi ir objektīvi un pamatoti; iesniedzējs ir norādījis, ka šī projekta īstenošanas laikā iegūtie un sasniegtie rezultāti tiks optimāli izplatīti, kā arī saglabāti un uzturēti noteikto laiku, sniegtā informācija kopumā ļauj secināt, ka tiks nodrošināta projekta īstenošanā </w:t>
            </w:r>
            <w:r w:rsidRPr="00B57EAE">
              <w:rPr>
                <w:rFonts w:ascii="Cambria" w:eastAsia="Times New Roman" w:hAnsi="Cambria"/>
                <w:color w:val="000000"/>
                <w:sz w:val="19"/>
                <w:szCs w:val="24"/>
                <w:lang w:eastAsia="lv-LV"/>
              </w:rPr>
              <w:lastRenderedPageBreak/>
              <w:t>sasniegto rezultātu izplatīšana, uzturēšana un izmantošana.</w:t>
            </w:r>
          </w:p>
          <w:p w14:paraId="530CB367"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 xml:space="preserve">-2 punkti – ja projekta rezultātu ilgtspēja un izplatīšana ir paredzēta, bet minētie nosacījumi ilgtspējas nodrošināšanai un/vai rezultātu izplatīšanai nav pietiekami pārdomāti, un nerada pārliecību par projektā sasniegto rezultātu uzturēšanas un turpināšanas iespējamību pēc projekta īstenošanas (vērtētājs var norādīt, kādus papildus instrumentus var izmantot situācijas uzlabošanai); </w:t>
            </w:r>
          </w:p>
          <w:p w14:paraId="294B5E32"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-1 punkts – ja sniegtā informācija ir pārāk vispārīga vai nepietiekama un neļauj izdarīt secinājumus par projekta rezultātu ilgtspējas iespējamību.</w:t>
            </w:r>
          </w:p>
        </w:tc>
      </w:tr>
      <w:tr w:rsidR="001A02D0" w:rsidRPr="00B57EAE" w14:paraId="1A34870D" w14:textId="77777777" w:rsidTr="00D474C9">
        <w:tc>
          <w:tcPr>
            <w:tcW w:w="443" w:type="pct"/>
            <w:vAlign w:val="center"/>
          </w:tcPr>
          <w:p w14:paraId="269E3A5C" w14:textId="77777777" w:rsidR="001A02D0" w:rsidRPr="00B57EAE" w:rsidRDefault="001A02D0" w:rsidP="00D474C9">
            <w:pPr>
              <w:jc w:val="center"/>
              <w:rPr>
                <w:rFonts w:ascii="Cambria" w:hAnsi="Cambria"/>
                <w:sz w:val="19"/>
                <w:szCs w:val="24"/>
                <w14:ligatures w14:val="standardContextual"/>
              </w:rPr>
            </w:pPr>
            <w:r w:rsidRPr="00B57EAE">
              <w:rPr>
                <w:rFonts w:ascii="Cambria" w:hAnsi="Cambria"/>
                <w:sz w:val="19"/>
                <w:szCs w:val="24"/>
                <w14:ligatures w14:val="standardContextual"/>
              </w:rPr>
              <w:lastRenderedPageBreak/>
              <w:t>2.5.</w:t>
            </w:r>
          </w:p>
        </w:tc>
        <w:tc>
          <w:tcPr>
            <w:tcW w:w="1571" w:type="pct"/>
            <w:vAlign w:val="center"/>
          </w:tcPr>
          <w:p w14:paraId="1F31A29B"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Iesaistītās mērķauditorijas skaits</w:t>
            </w:r>
          </w:p>
        </w:tc>
        <w:tc>
          <w:tcPr>
            <w:tcW w:w="796" w:type="pct"/>
          </w:tcPr>
          <w:p w14:paraId="4E37DD37" w14:textId="77777777" w:rsidR="001A02D0" w:rsidRPr="00B57EAE" w:rsidRDefault="001A02D0" w:rsidP="00D474C9">
            <w:pPr>
              <w:jc w:val="both"/>
              <w:rPr>
                <w:rFonts w:ascii="Cambria" w:hAnsi="Cambria"/>
                <w:sz w:val="19"/>
                <w:szCs w:val="24"/>
                <w14:ligatures w14:val="standardContextual"/>
              </w:rPr>
            </w:pPr>
          </w:p>
        </w:tc>
        <w:tc>
          <w:tcPr>
            <w:tcW w:w="2190" w:type="pct"/>
            <w:vAlign w:val="center"/>
          </w:tcPr>
          <w:p w14:paraId="502E56B4"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 xml:space="preserve">Kritērijā ņem vērā projekta realizēšanā tiešā veidā iesaistīto personu skaitu, neatkarīgi no dalībnieku skaita projekta pieteikuma iesniedzēja organizācijā. Punktus piešķir, atbilstoši šādai metodikai: </w:t>
            </w:r>
          </w:p>
          <w:p w14:paraId="1CC11B6C"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-3 punkti – ja projekta aktivitātēs tiešā veidā ir iesaistītas vairāk kā 100 personas;</w:t>
            </w:r>
          </w:p>
          <w:p w14:paraId="3745C485"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-2 punkti – ja projekta aktivitātēs tiešā veidā ir iesaistītas 50 līdz 100 personas;</w:t>
            </w:r>
          </w:p>
          <w:p w14:paraId="0A90E455"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-1 punkts – ja projekta aktivitātēs tiešā veidā ir iesaistītas 10 līdz 49 personas;</w:t>
            </w:r>
          </w:p>
          <w:p w14:paraId="73944553"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-0 punkti – ja projekta aktivitātēs tiešā veidā ir iesaistītas mazāk par 10 personām.</w:t>
            </w:r>
          </w:p>
        </w:tc>
      </w:tr>
      <w:tr w:rsidR="001A02D0" w:rsidRPr="00B57EAE" w14:paraId="0AE302EA" w14:textId="77777777" w:rsidTr="00D474C9">
        <w:tc>
          <w:tcPr>
            <w:tcW w:w="443" w:type="pct"/>
            <w:vAlign w:val="center"/>
          </w:tcPr>
          <w:p w14:paraId="6C2DC7F9" w14:textId="77777777" w:rsidR="001A02D0" w:rsidRPr="00B57EAE" w:rsidRDefault="001A02D0" w:rsidP="00D474C9">
            <w:pPr>
              <w:jc w:val="center"/>
              <w:rPr>
                <w:rFonts w:ascii="Cambria" w:hAnsi="Cambria"/>
                <w:sz w:val="19"/>
                <w:szCs w:val="24"/>
                <w14:ligatures w14:val="standardContextual"/>
              </w:rPr>
            </w:pPr>
            <w:r w:rsidRPr="00B57EAE">
              <w:rPr>
                <w:rFonts w:ascii="Cambria" w:hAnsi="Cambria"/>
                <w:sz w:val="19"/>
                <w:szCs w:val="24"/>
                <w14:ligatures w14:val="standardContextual"/>
              </w:rPr>
              <w:t>2.6.</w:t>
            </w:r>
          </w:p>
        </w:tc>
        <w:tc>
          <w:tcPr>
            <w:tcW w:w="1571" w:type="pct"/>
            <w:vAlign w:val="center"/>
          </w:tcPr>
          <w:p w14:paraId="335D9BE3"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Plānoto izmaksu atbilstība noteikumu nosacījumiem un nepieciešamība projekta aktivitāšu īstenošanai</w:t>
            </w:r>
          </w:p>
        </w:tc>
        <w:tc>
          <w:tcPr>
            <w:tcW w:w="796" w:type="pct"/>
          </w:tcPr>
          <w:p w14:paraId="293213D4" w14:textId="77777777" w:rsidR="001A02D0" w:rsidRPr="00B57EAE" w:rsidRDefault="001A02D0" w:rsidP="00D474C9">
            <w:pPr>
              <w:jc w:val="both"/>
              <w:rPr>
                <w:rFonts w:ascii="Cambria" w:hAnsi="Cambria"/>
                <w:sz w:val="19"/>
                <w:szCs w:val="24"/>
                <w14:ligatures w14:val="standardContextual"/>
              </w:rPr>
            </w:pPr>
          </w:p>
        </w:tc>
        <w:tc>
          <w:tcPr>
            <w:tcW w:w="2190" w:type="pct"/>
            <w:vAlign w:val="center"/>
          </w:tcPr>
          <w:p w14:paraId="012F86FC"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 xml:space="preserve">Kritērijā vērtē plānotā budžeta atbilstību noteikumos noteiktajiem izmaksu </w:t>
            </w:r>
            <w:proofErr w:type="spellStart"/>
            <w:r w:rsidRPr="00B57EAE">
              <w:rPr>
                <w:rFonts w:ascii="Cambria" w:eastAsia="Times New Roman" w:hAnsi="Cambria"/>
                <w:color w:val="000000"/>
                <w:sz w:val="19"/>
                <w:szCs w:val="24"/>
                <w:lang w:eastAsia="lv-LV"/>
              </w:rPr>
              <w:t>attiecināmības</w:t>
            </w:r>
            <w:proofErr w:type="spellEnd"/>
            <w:r w:rsidRPr="00B57EAE">
              <w:rPr>
                <w:rFonts w:ascii="Cambria" w:eastAsia="Times New Roman" w:hAnsi="Cambria"/>
                <w:color w:val="000000"/>
                <w:sz w:val="19"/>
                <w:szCs w:val="24"/>
                <w:lang w:eastAsia="lv-LV"/>
              </w:rPr>
              <w:t xml:space="preserve"> nosacījumiem un projekta aktivitāšu plānam. Vērtējumā ņem vērā, vai visas plānotās izmaksas ir attiecināmas un nepieciešamas, lai īstenotu projektā paredzētās aktivitātes un sasniegtu norādītos rezultātus. Vērtētājs savā vērtējumā skaidri norāda konkrētus trūkumus, ko nepieciešams novērst projekta atbalsta gadījumā. Ja vērtētājs konstatē, ka projektā ir paredzētas aktivitātes, kuras saskaņā ar noteikumu nosacījumiem nav attiecināmās izmaksas, vērtētājs to norāda komentārā, bet šī iemesla dēļ vērtējumu samazināt nedrīkst. </w:t>
            </w:r>
          </w:p>
          <w:p w14:paraId="175A124B"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 xml:space="preserve">Ja projektā paredzētās aktivitātes nav tieši saistītas ar projekta mērķi vai neatbilst noteikumos noteiktajām aktivitātēm, tad ar šo aktivitāšu īstenošanu saistītās izmaksas pēc būtības ir vērtējamas kā nepamatotas un neatbilstošas. </w:t>
            </w:r>
          </w:p>
          <w:p w14:paraId="757C892E"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 xml:space="preserve">Punktus piešķir, atbilstoši šādai metodikai: </w:t>
            </w:r>
          </w:p>
          <w:p w14:paraId="45A7AF6C"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 xml:space="preserve">-3 punkti – ja visas budžetā plānotās izmaksas atbilst noteikumu nosacījumiem, ir pamatotas un nepieciešamas projekta aktivitāšu īstenošanai un rezultātu sasniegšanai, ja budžets ir pietiekami detalizēts, ir atšifrētas atsevišķas budžeta </w:t>
            </w:r>
            <w:r w:rsidRPr="00B57EAE">
              <w:rPr>
                <w:rFonts w:ascii="Cambria" w:eastAsia="Times New Roman" w:hAnsi="Cambria"/>
                <w:color w:val="000000"/>
                <w:sz w:val="19"/>
                <w:szCs w:val="24"/>
                <w:lang w:eastAsia="lv-LV"/>
              </w:rPr>
              <w:lastRenderedPageBreak/>
              <w:t xml:space="preserve">pozīcijas (piemēram, ir norādīts konkrēts inventārs, ko paredzēts iegādāties u.tml.); </w:t>
            </w:r>
          </w:p>
          <w:p w14:paraId="4D018E49"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 xml:space="preserve">-2 punkti – ja budžets nav pietiekami detalizēts (piemēram, nav norādīts, kādus materiāltehniskos līdzekļus, telpas plānots nomāt u.tml.) un projekta pieteikumā pieejamā informācija nav pietiekama, lai gūtu pārliecību par atsevišķu izmaksu pozīciju nepieciešamību konkrētā projekta aktivitāšu īstenošanai. Atsevišķas izmaksu pozīcijas nav atbilstošas noteikumos noteiktajām atbalstāmajām aktivitātēm vai nav pietiekami pamatotas un nav nepieciešamas projekta aktivitāšu īstenošanai, (vērtētājs norāda konkrētās izmaksu pozīcijas, kuras nav nepieciešamas, un argumentēti pamato savu viedokli; projekta atbalsta gadījumā šīs izmaksas no budžeta tiks izslēgtas); </w:t>
            </w:r>
          </w:p>
          <w:p w14:paraId="4FBC6E5F"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-1 punkts – ja 50 % un vairāk no projekta budžetā plānotajām izmaksām nav atbilstošas, ņemot vērā noteikumos noteiktās atbalstāmās aktivitātes, vai nav nepieciešamas projekta aktivitāšu īstenošanai un rezultātu sasniegšanai.</w:t>
            </w:r>
          </w:p>
        </w:tc>
      </w:tr>
      <w:tr w:rsidR="001A02D0" w:rsidRPr="00B57EAE" w14:paraId="7D8028CA" w14:textId="77777777" w:rsidTr="00D474C9">
        <w:tc>
          <w:tcPr>
            <w:tcW w:w="443" w:type="pct"/>
            <w:vAlign w:val="center"/>
          </w:tcPr>
          <w:p w14:paraId="41F37AAA" w14:textId="77777777" w:rsidR="001A02D0" w:rsidRPr="00B57EAE" w:rsidRDefault="001A02D0" w:rsidP="00D474C9">
            <w:pPr>
              <w:jc w:val="center"/>
              <w:rPr>
                <w:rFonts w:ascii="Cambria" w:hAnsi="Cambria"/>
                <w:sz w:val="19"/>
                <w:szCs w:val="24"/>
                <w14:ligatures w14:val="standardContextual"/>
              </w:rPr>
            </w:pPr>
            <w:r w:rsidRPr="00B57EAE">
              <w:rPr>
                <w:rFonts w:ascii="Cambria" w:hAnsi="Cambria"/>
                <w:sz w:val="19"/>
                <w:szCs w:val="24"/>
                <w14:ligatures w14:val="standardContextual"/>
              </w:rPr>
              <w:lastRenderedPageBreak/>
              <w:t>2.7.</w:t>
            </w:r>
          </w:p>
        </w:tc>
        <w:tc>
          <w:tcPr>
            <w:tcW w:w="1571" w:type="pct"/>
            <w:vAlign w:val="center"/>
          </w:tcPr>
          <w:p w14:paraId="34B59351"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Projekta izmaksu samērīgums attiecībā pret sagaidāmajiem rezultātiem</w:t>
            </w:r>
          </w:p>
        </w:tc>
        <w:tc>
          <w:tcPr>
            <w:tcW w:w="796" w:type="pct"/>
          </w:tcPr>
          <w:p w14:paraId="34E14FCF" w14:textId="77777777" w:rsidR="001A02D0" w:rsidRPr="00B57EAE" w:rsidRDefault="001A02D0" w:rsidP="00D474C9">
            <w:pPr>
              <w:jc w:val="both"/>
              <w:rPr>
                <w:rFonts w:ascii="Cambria" w:hAnsi="Cambria"/>
                <w:sz w:val="19"/>
                <w:szCs w:val="24"/>
                <w14:ligatures w14:val="standardContextual"/>
              </w:rPr>
            </w:pPr>
          </w:p>
        </w:tc>
        <w:tc>
          <w:tcPr>
            <w:tcW w:w="2190" w:type="pct"/>
            <w:vAlign w:val="center"/>
          </w:tcPr>
          <w:p w14:paraId="42BF99AE"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 xml:space="preserve">Kritērijā ņem vērā, kāds ir plānotā izmaksu apjoma samērīgums attiecībā pret projektā plānotajiem kopējiem rezultātiem. Kritēriju vērtē arī saistībā ar noteikumu vērtēts kā adekvāts, pat, ja tas ir samērīgs. </w:t>
            </w:r>
          </w:p>
          <w:p w14:paraId="4B778E1D"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 xml:space="preserve">Punktus piešķir, atbilstoši šādai metodikai: </w:t>
            </w:r>
          </w:p>
          <w:p w14:paraId="4493C993"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-3 punkti – ja projekta kopējo izmaksu apjoms ir adekvāts, vērtējot attiecībā pret kopējiem sagaidāmajiem rezultātiem, izmaksas ir pamatotas, ņemot vērā plānoto aktivitāšu specifiku, inovāciju, sadarbības īpatnības, izmaksas ir paredzētas plānoto aktivitāšu kvalitātes nodrošināšanai vai projekta rezultātu ilgtspējas un/vai izplatīšanas nodrošināšanai, ja projektā plānotie rezultāti ir nozīmīgi, nepieciešami un tie atsver paredzamos finanšu ieguldījumus;</w:t>
            </w:r>
          </w:p>
          <w:p w14:paraId="74A8DA7A"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 xml:space="preserve">-2 punkti – ja projekta kopējās izmaksas ir augstas un tikai daļēji atbilst plānotajiem rezultātiem, vai arī, ja plānoto izmaksu apjoms ir atbilstošs, taču daļa projektā plānoto rezultātu nav saistīti ar projekta mērķiem, lielākā daļa plānoto rezultātu ir nesamērīgi augsti un nav skaidrs, kā tie tiks sasniegti; </w:t>
            </w:r>
          </w:p>
          <w:p w14:paraId="0CD25E81"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r w:rsidRPr="00B57EAE">
              <w:rPr>
                <w:rFonts w:ascii="Cambria" w:eastAsia="Times New Roman" w:hAnsi="Cambria"/>
                <w:color w:val="000000"/>
                <w:sz w:val="19"/>
                <w:szCs w:val="24"/>
                <w:lang w:eastAsia="lv-LV"/>
              </w:rPr>
              <w:t>-1 punkts – ja projekta izmaksas nav samērojamas ar sagaidāmajiem rezultātiem; projekta pieprasītais finansējums ir tuvu maksimālajam, taču sagaidāmie rezultāti ir nebūtiski.</w:t>
            </w:r>
          </w:p>
        </w:tc>
      </w:tr>
      <w:tr w:rsidR="001A02D0" w:rsidRPr="00B57EAE" w14:paraId="5C80E36B" w14:textId="77777777" w:rsidTr="00D474C9">
        <w:tc>
          <w:tcPr>
            <w:tcW w:w="2014" w:type="pct"/>
            <w:gridSpan w:val="2"/>
            <w:vAlign w:val="center"/>
          </w:tcPr>
          <w:p w14:paraId="38A9DAD9" w14:textId="77777777" w:rsidR="001A02D0" w:rsidRPr="00B57EAE" w:rsidRDefault="001A02D0" w:rsidP="00D474C9">
            <w:pPr>
              <w:autoSpaceDE w:val="0"/>
              <w:autoSpaceDN w:val="0"/>
              <w:adjustRightInd w:val="0"/>
              <w:jc w:val="center"/>
              <w:rPr>
                <w:rFonts w:ascii="Cambria" w:eastAsia="Times New Roman" w:hAnsi="Cambria"/>
                <w:color w:val="000000"/>
                <w:sz w:val="19"/>
                <w:szCs w:val="24"/>
                <w:lang w:eastAsia="lv-LV"/>
              </w:rPr>
            </w:pPr>
            <w:r w:rsidRPr="00B57EAE">
              <w:rPr>
                <w:rFonts w:ascii="Cambria" w:hAnsi="Cambria"/>
                <w:b/>
                <w:bCs/>
                <w:sz w:val="19"/>
                <w:szCs w:val="24"/>
                <w14:ligatures w14:val="standardContextual"/>
              </w:rPr>
              <w:t>Iegūto punktu skaits kopā</w:t>
            </w:r>
          </w:p>
        </w:tc>
        <w:tc>
          <w:tcPr>
            <w:tcW w:w="796" w:type="pct"/>
          </w:tcPr>
          <w:p w14:paraId="673D8E45" w14:textId="77777777" w:rsidR="001A02D0" w:rsidRPr="00B57EAE" w:rsidRDefault="001A02D0" w:rsidP="00D474C9">
            <w:pPr>
              <w:jc w:val="both"/>
              <w:rPr>
                <w:rFonts w:ascii="Cambria" w:hAnsi="Cambria"/>
                <w:sz w:val="19"/>
                <w:szCs w:val="24"/>
                <w14:ligatures w14:val="standardContextual"/>
              </w:rPr>
            </w:pPr>
          </w:p>
        </w:tc>
        <w:tc>
          <w:tcPr>
            <w:tcW w:w="2190" w:type="pct"/>
            <w:vAlign w:val="center"/>
          </w:tcPr>
          <w:p w14:paraId="3F87EC4C" w14:textId="77777777" w:rsidR="001A02D0" w:rsidRPr="00B57EAE" w:rsidRDefault="001A02D0" w:rsidP="00D474C9">
            <w:pPr>
              <w:autoSpaceDE w:val="0"/>
              <w:autoSpaceDN w:val="0"/>
              <w:adjustRightInd w:val="0"/>
              <w:rPr>
                <w:rFonts w:ascii="Cambria" w:eastAsia="Times New Roman" w:hAnsi="Cambria"/>
                <w:color w:val="000000"/>
                <w:sz w:val="19"/>
                <w:szCs w:val="24"/>
                <w:lang w:eastAsia="lv-LV"/>
              </w:rPr>
            </w:pPr>
          </w:p>
        </w:tc>
      </w:tr>
    </w:tbl>
    <w:p w14:paraId="57A16878" w14:textId="77777777" w:rsidR="001A02D0" w:rsidRPr="00EA035D" w:rsidRDefault="001A02D0" w:rsidP="001A02D0">
      <w:pPr>
        <w:spacing w:before="130" w:line="260" w:lineRule="exact"/>
        <w:jc w:val="both"/>
        <w:rPr>
          <w:rFonts w:ascii="Cambria" w:eastAsia="Times New Roman" w:hAnsi="Cambria"/>
          <w:sz w:val="19"/>
          <w:szCs w:val="24"/>
        </w:rPr>
      </w:pPr>
      <w:r w:rsidRPr="00EA035D">
        <w:rPr>
          <w:rFonts w:ascii="Cambria" w:hAnsi="Cambria"/>
          <w:sz w:val="19"/>
          <w:szCs w:val="24"/>
        </w:rPr>
        <w:t>Komisijas loceklis:</w:t>
      </w:r>
    </w:p>
    <w:p w14:paraId="6631B34F" w14:textId="77777777" w:rsidR="001A02D0" w:rsidRPr="00EA035D" w:rsidRDefault="001A02D0" w:rsidP="001A02D0">
      <w:pPr>
        <w:spacing w:before="130" w:line="260" w:lineRule="exact"/>
        <w:jc w:val="both"/>
        <w:rPr>
          <w:rFonts w:ascii="Cambria" w:hAnsi="Cambria"/>
          <w:sz w:val="19"/>
          <w:szCs w:val="24"/>
        </w:rPr>
      </w:pPr>
      <w:r w:rsidRPr="00EA035D">
        <w:rPr>
          <w:rFonts w:ascii="Cambria" w:hAnsi="Cambria"/>
          <w:sz w:val="19"/>
          <w:szCs w:val="24"/>
        </w:rPr>
        <w:lastRenderedPageBreak/>
        <w:t>vārds, uzvārds: ___________</w:t>
      </w:r>
      <w:r>
        <w:rPr>
          <w:rFonts w:ascii="Cambria" w:hAnsi="Cambria"/>
          <w:sz w:val="19"/>
          <w:szCs w:val="24"/>
        </w:rPr>
        <w:t>__________________</w:t>
      </w:r>
      <w:r w:rsidRPr="00EA035D">
        <w:rPr>
          <w:rFonts w:ascii="Cambria" w:hAnsi="Cambria"/>
          <w:sz w:val="19"/>
          <w:szCs w:val="24"/>
        </w:rPr>
        <w:t>________paraksts</w:t>
      </w:r>
    </w:p>
    <w:p w14:paraId="1BB8D73C" w14:textId="77777777" w:rsidR="001A02D0" w:rsidRPr="00EA035D" w:rsidRDefault="001A02D0" w:rsidP="001A02D0">
      <w:pPr>
        <w:spacing w:before="130" w:line="260" w:lineRule="exact"/>
        <w:jc w:val="both"/>
        <w:rPr>
          <w:rFonts w:ascii="Cambria" w:hAnsi="Cambria"/>
          <w:sz w:val="19"/>
          <w:szCs w:val="24"/>
        </w:rPr>
      </w:pPr>
      <w:r w:rsidRPr="00EA035D">
        <w:rPr>
          <w:rFonts w:ascii="Cambria" w:hAnsi="Cambria"/>
          <w:sz w:val="19"/>
          <w:szCs w:val="24"/>
        </w:rPr>
        <w:t>Datums:</w:t>
      </w:r>
      <w:r w:rsidRPr="00EA035D">
        <w:rPr>
          <w:rFonts w:ascii="Cambria" w:hAnsi="Cambria"/>
          <w:i/>
          <w:iCs/>
          <w:sz w:val="19"/>
          <w:szCs w:val="24"/>
        </w:rPr>
        <w:t>_______________</w:t>
      </w:r>
      <w:r>
        <w:rPr>
          <w:rFonts w:ascii="Cambria" w:hAnsi="Cambria"/>
          <w:i/>
          <w:iCs/>
          <w:sz w:val="19"/>
          <w:szCs w:val="24"/>
        </w:rPr>
        <w:t>_____</w:t>
      </w:r>
      <w:r w:rsidRPr="00EA035D">
        <w:rPr>
          <w:rFonts w:ascii="Cambria" w:hAnsi="Cambria"/>
          <w:i/>
          <w:iCs/>
          <w:sz w:val="19"/>
          <w:szCs w:val="24"/>
        </w:rPr>
        <w:t>_____</w:t>
      </w:r>
    </w:p>
    <w:p w14:paraId="1D25E41A" w14:textId="77777777" w:rsidR="001A02D0" w:rsidRPr="00EA035D" w:rsidRDefault="001A02D0" w:rsidP="001A02D0">
      <w:pPr>
        <w:spacing w:before="130" w:line="260" w:lineRule="exact"/>
        <w:rPr>
          <w:rFonts w:ascii="Cambria" w:hAnsi="Cambria"/>
          <w:sz w:val="19"/>
          <w:szCs w:val="24"/>
        </w:rPr>
      </w:pPr>
    </w:p>
    <w:p w14:paraId="51AC81FA" w14:textId="4AC4A4D7" w:rsidR="001A02D0" w:rsidRPr="00EA035D" w:rsidRDefault="001A02D0" w:rsidP="001A02D0">
      <w:pPr>
        <w:overflowPunct w:val="0"/>
        <w:autoSpaceDE w:val="0"/>
        <w:autoSpaceDN w:val="0"/>
        <w:adjustRightInd w:val="0"/>
        <w:spacing w:before="130" w:line="260" w:lineRule="exact"/>
        <w:jc w:val="right"/>
        <w:textAlignment w:val="baseline"/>
        <w:rPr>
          <w:rFonts w:ascii="Cambria" w:eastAsia="Times New Roman" w:hAnsi="Cambria"/>
          <w:sz w:val="19"/>
          <w:szCs w:val="24"/>
        </w:rPr>
      </w:pPr>
    </w:p>
    <w:p w14:paraId="3442F06A" w14:textId="77777777" w:rsidR="001A02D0" w:rsidRDefault="001A02D0"/>
    <w:sectPr w:rsidR="001A02D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D0"/>
    <w:rsid w:val="001A02D0"/>
    <w:rsid w:val="005F37D3"/>
    <w:rsid w:val="00B94F2A"/>
    <w:rsid w:val="00E0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52C6"/>
  <w15:chartTrackingRefBased/>
  <w15:docId w15:val="{6EAFE52C-FBAA-47D5-9B62-73A6A9DA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A02D0"/>
    <w:pPr>
      <w:spacing w:after="0" w:line="240" w:lineRule="auto"/>
    </w:pPr>
    <w:rPr>
      <w:rFonts w:ascii="Times New Roman" w:eastAsia="Calibri" w:hAnsi="Times New Roman" w:cs="Times New Roman"/>
      <w:kern w:val="0"/>
      <w:szCs w:val="22"/>
      <w:lang w:val="lv-LV"/>
      <w14:ligatures w14:val="none"/>
    </w:rPr>
  </w:style>
  <w:style w:type="paragraph" w:styleId="Virsraksts1">
    <w:name w:val="heading 1"/>
    <w:basedOn w:val="Parasts"/>
    <w:next w:val="Parasts"/>
    <w:link w:val="Virsraksts1Rakstz"/>
    <w:uiPriority w:val="9"/>
    <w:qFormat/>
    <w:rsid w:val="001A02D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Virsraksts2">
    <w:name w:val="heading 2"/>
    <w:basedOn w:val="Parasts"/>
    <w:next w:val="Parasts"/>
    <w:link w:val="Virsraksts2Rakstz"/>
    <w:uiPriority w:val="9"/>
    <w:semiHidden/>
    <w:unhideWhenUsed/>
    <w:qFormat/>
    <w:rsid w:val="001A02D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Virsraksts3">
    <w:name w:val="heading 3"/>
    <w:basedOn w:val="Parasts"/>
    <w:next w:val="Parasts"/>
    <w:link w:val="Virsraksts3Rakstz"/>
    <w:uiPriority w:val="9"/>
    <w:semiHidden/>
    <w:unhideWhenUsed/>
    <w:qFormat/>
    <w:rsid w:val="001A02D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Virsraksts4">
    <w:name w:val="heading 4"/>
    <w:basedOn w:val="Parasts"/>
    <w:next w:val="Parasts"/>
    <w:link w:val="Virsraksts4Rakstz"/>
    <w:uiPriority w:val="9"/>
    <w:semiHidden/>
    <w:unhideWhenUsed/>
    <w:qFormat/>
    <w:rsid w:val="001A02D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Virsraksts5">
    <w:name w:val="heading 5"/>
    <w:basedOn w:val="Parasts"/>
    <w:next w:val="Parasts"/>
    <w:link w:val="Virsraksts5Rakstz"/>
    <w:uiPriority w:val="9"/>
    <w:semiHidden/>
    <w:unhideWhenUsed/>
    <w:qFormat/>
    <w:rsid w:val="001A02D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Virsraksts6">
    <w:name w:val="heading 6"/>
    <w:basedOn w:val="Parasts"/>
    <w:next w:val="Parasts"/>
    <w:link w:val="Virsraksts6Rakstz"/>
    <w:uiPriority w:val="9"/>
    <w:semiHidden/>
    <w:unhideWhenUsed/>
    <w:qFormat/>
    <w:rsid w:val="001A02D0"/>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Virsraksts7">
    <w:name w:val="heading 7"/>
    <w:basedOn w:val="Parasts"/>
    <w:next w:val="Parasts"/>
    <w:link w:val="Virsraksts7Rakstz"/>
    <w:uiPriority w:val="9"/>
    <w:semiHidden/>
    <w:unhideWhenUsed/>
    <w:qFormat/>
    <w:rsid w:val="001A02D0"/>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Virsraksts8">
    <w:name w:val="heading 8"/>
    <w:basedOn w:val="Parasts"/>
    <w:next w:val="Parasts"/>
    <w:link w:val="Virsraksts8Rakstz"/>
    <w:uiPriority w:val="9"/>
    <w:semiHidden/>
    <w:unhideWhenUsed/>
    <w:qFormat/>
    <w:rsid w:val="001A02D0"/>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Virsraksts9">
    <w:name w:val="heading 9"/>
    <w:basedOn w:val="Parasts"/>
    <w:next w:val="Parasts"/>
    <w:link w:val="Virsraksts9Rakstz"/>
    <w:uiPriority w:val="9"/>
    <w:semiHidden/>
    <w:unhideWhenUsed/>
    <w:qFormat/>
    <w:rsid w:val="001A02D0"/>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A02D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A02D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A02D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A02D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A02D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A02D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A02D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A02D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A02D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A02D0"/>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NosaukumsRakstz">
    <w:name w:val="Nosaukums Rakstz."/>
    <w:basedOn w:val="Noklusjumarindkopasfonts"/>
    <w:link w:val="Nosaukums"/>
    <w:uiPriority w:val="10"/>
    <w:rsid w:val="001A02D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A02D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ApakvirsrakstsRakstz">
    <w:name w:val="Apakšvirsraksts Rakstz."/>
    <w:basedOn w:val="Noklusjumarindkopasfonts"/>
    <w:link w:val="Apakvirsraksts"/>
    <w:uiPriority w:val="11"/>
    <w:rsid w:val="001A02D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A02D0"/>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tsRakstz">
    <w:name w:val="Citāts Rakstz."/>
    <w:basedOn w:val="Noklusjumarindkopasfonts"/>
    <w:link w:val="Citts"/>
    <w:uiPriority w:val="29"/>
    <w:rsid w:val="001A02D0"/>
    <w:rPr>
      <w:i/>
      <w:iCs/>
      <w:color w:val="404040" w:themeColor="text1" w:themeTint="BF"/>
    </w:rPr>
  </w:style>
  <w:style w:type="paragraph" w:styleId="Sarakstarindkopa">
    <w:name w:val="List Paragraph"/>
    <w:basedOn w:val="Parasts"/>
    <w:uiPriority w:val="34"/>
    <w:qFormat/>
    <w:rsid w:val="001A02D0"/>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Intensvsizclums">
    <w:name w:val="Intense Emphasis"/>
    <w:basedOn w:val="Noklusjumarindkopasfonts"/>
    <w:uiPriority w:val="21"/>
    <w:qFormat/>
    <w:rsid w:val="001A02D0"/>
    <w:rPr>
      <w:i/>
      <w:iCs/>
      <w:color w:val="0F4761" w:themeColor="accent1" w:themeShade="BF"/>
    </w:rPr>
  </w:style>
  <w:style w:type="paragraph" w:styleId="Intensvscitts">
    <w:name w:val="Intense Quote"/>
    <w:basedOn w:val="Parasts"/>
    <w:next w:val="Parasts"/>
    <w:link w:val="IntensvscittsRakstz"/>
    <w:uiPriority w:val="30"/>
    <w:qFormat/>
    <w:rsid w:val="001A02D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ntensvscittsRakstz">
    <w:name w:val="Intensīvs citāts Rakstz."/>
    <w:basedOn w:val="Noklusjumarindkopasfonts"/>
    <w:link w:val="Intensvscitts"/>
    <w:uiPriority w:val="30"/>
    <w:rsid w:val="001A02D0"/>
    <w:rPr>
      <w:i/>
      <w:iCs/>
      <w:color w:val="0F4761" w:themeColor="accent1" w:themeShade="BF"/>
    </w:rPr>
  </w:style>
  <w:style w:type="character" w:styleId="Intensvaatsauce">
    <w:name w:val="Intense Reference"/>
    <w:basedOn w:val="Noklusjumarindkopasfonts"/>
    <w:uiPriority w:val="32"/>
    <w:qFormat/>
    <w:rsid w:val="001A02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1611</Words>
  <Characters>10279</Characters>
  <Application>Microsoft Office Word</Application>
  <DocSecurity>0</DocSecurity>
  <Lines>263</Lines>
  <Paragraphs>165</Paragraphs>
  <ScaleCrop>false</ScaleCrop>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Upīte</dc:creator>
  <cp:keywords/>
  <dc:description/>
  <cp:lastModifiedBy>Līga Miķelsone</cp:lastModifiedBy>
  <cp:revision>2</cp:revision>
  <dcterms:created xsi:type="dcterms:W3CDTF">2026-06-05T06:35:00Z</dcterms:created>
  <dcterms:modified xsi:type="dcterms:W3CDTF">2026-06-05T07:15:00Z</dcterms:modified>
</cp:coreProperties>
</file>