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E689" w14:textId="77777777" w:rsidR="00884D6B" w:rsidRPr="00732CA0" w:rsidRDefault="00884D6B" w:rsidP="00732CA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bookmarkStart w:id="0" w:name="_Hlk90283820"/>
      <w:r w:rsidRPr="00732CA0">
        <w:rPr>
          <w:rFonts w:ascii="Times New Roman" w:hAnsi="Times New Roman" w:cs="Times New Roman"/>
          <w:sz w:val="28"/>
          <w:szCs w:val="28"/>
        </w:rPr>
        <w:t xml:space="preserve">Pielikums </w:t>
      </w:r>
    </w:p>
    <w:p w14:paraId="5141E87D" w14:textId="77777777" w:rsidR="00884D6B" w:rsidRPr="00732CA0" w:rsidRDefault="00884D6B" w:rsidP="00732CA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732CA0">
        <w:rPr>
          <w:rFonts w:ascii="Times New Roman" w:hAnsi="Times New Roman" w:cs="Times New Roman"/>
          <w:sz w:val="28"/>
          <w:szCs w:val="28"/>
        </w:rPr>
        <w:t xml:space="preserve">Ministru kabineta </w:t>
      </w:r>
    </w:p>
    <w:p w14:paraId="6880F1A1" w14:textId="77777777" w:rsidR="00884D6B" w:rsidRPr="00732CA0" w:rsidRDefault="00884D6B" w:rsidP="00732CA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732CA0">
        <w:rPr>
          <w:rFonts w:ascii="Times New Roman" w:hAnsi="Times New Roman" w:cs="Times New Roman"/>
          <w:sz w:val="28"/>
          <w:szCs w:val="28"/>
        </w:rPr>
        <w:t>2026. gada 28. aprīļa</w:t>
      </w:r>
    </w:p>
    <w:p w14:paraId="35C28EBF" w14:textId="77777777" w:rsidR="00884D6B" w:rsidRPr="00732CA0" w:rsidRDefault="00884D6B" w:rsidP="00732CA0">
      <w:pPr>
        <w:spacing w:after="0" w:line="240" w:lineRule="auto"/>
        <w:jc w:val="right"/>
        <w:rPr>
          <w:rFonts w:ascii="Times New Roman" w:hAnsi="Times New Roman" w:cs="Times New Roman"/>
          <w:sz w:val="28"/>
          <w:szCs w:val="28"/>
        </w:rPr>
      </w:pPr>
      <w:r w:rsidRPr="00732CA0">
        <w:rPr>
          <w:rFonts w:ascii="Times New Roman" w:hAnsi="Times New Roman" w:cs="Times New Roman"/>
          <w:sz w:val="28"/>
          <w:szCs w:val="28"/>
        </w:rPr>
        <w:t xml:space="preserve">rīkojumam Nr. </w:t>
      </w:r>
      <w:r w:rsidRPr="00732CA0">
        <w:rPr>
          <w:rFonts w:ascii="Times New Roman" w:hAnsi="Times New Roman" w:cs="Times New Roman"/>
          <w:sz w:val="28"/>
          <w:szCs w:val="28"/>
        </w:rPr>
        <w:t>238</w:t>
      </w:r>
    </w:p>
    <w:bookmarkEnd w:id="0"/>
    <w:p w14:paraId="03EB0663" w14:textId="77777777" w:rsidR="00884D6B" w:rsidRPr="00732CA0" w:rsidRDefault="00884D6B" w:rsidP="00732CA0">
      <w:pPr>
        <w:spacing w:after="0" w:line="240" w:lineRule="auto"/>
        <w:jc w:val="right"/>
        <w:rPr>
          <w:rFonts w:ascii="Times New Roman" w:hAnsi="Times New Roman" w:cs="Times New Roman"/>
          <w:sz w:val="28"/>
          <w:szCs w:val="28"/>
        </w:rPr>
      </w:pPr>
    </w:p>
    <w:p w14:paraId="5C1DAC88" w14:textId="17E519A1" w:rsidR="00884D6B" w:rsidRPr="00732CA0" w:rsidRDefault="00884D6B" w:rsidP="00732CA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732CA0">
        <w:rPr>
          <w:rFonts w:ascii="Times New Roman" w:hAnsi="Times New Roman" w:cs="Times New Roman"/>
          <w:sz w:val="28"/>
          <w:szCs w:val="28"/>
        </w:rPr>
        <w:t>"Pielikums</w:t>
      </w:r>
    </w:p>
    <w:p w14:paraId="7970CAA6" w14:textId="77777777" w:rsidR="00884D6B" w:rsidRPr="00732CA0" w:rsidRDefault="00884D6B" w:rsidP="00732CA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732CA0">
        <w:rPr>
          <w:rFonts w:ascii="Times New Roman" w:hAnsi="Times New Roman" w:cs="Times New Roman"/>
          <w:sz w:val="28"/>
          <w:szCs w:val="28"/>
        </w:rPr>
        <w:t>Ministru kabineta</w:t>
      </w:r>
    </w:p>
    <w:p w14:paraId="771B3C0F" w14:textId="77777777" w:rsidR="00884D6B" w:rsidRPr="00732CA0" w:rsidRDefault="00884D6B" w:rsidP="00732CA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732CA0">
        <w:rPr>
          <w:rFonts w:ascii="Times New Roman" w:hAnsi="Times New Roman" w:cs="Times New Roman"/>
          <w:sz w:val="28"/>
          <w:szCs w:val="28"/>
        </w:rPr>
        <w:t>2023. gada 2. marta</w:t>
      </w:r>
    </w:p>
    <w:p w14:paraId="17AF0C4C" w14:textId="6E59E299" w:rsidR="00884D6B" w:rsidRPr="00732CA0" w:rsidRDefault="00884D6B" w:rsidP="00732CA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732CA0">
        <w:rPr>
          <w:rFonts w:ascii="Times New Roman" w:hAnsi="Times New Roman" w:cs="Times New Roman"/>
          <w:sz w:val="28"/>
          <w:szCs w:val="28"/>
        </w:rPr>
        <w:t>rīkojumam Nr.</w:t>
      </w:r>
      <w:r w:rsidRPr="00732CA0">
        <w:rPr>
          <w:rFonts w:ascii="Times New Roman" w:hAnsi="Times New Roman" w:cs="Times New Roman"/>
          <w:sz w:val="28"/>
          <w:szCs w:val="28"/>
        </w:rPr>
        <w:t xml:space="preserve"> </w:t>
      </w:r>
      <w:r w:rsidRPr="00732CA0">
        <w:rPr>
          <w:rFonts w:ascii="Times New Roman" w:hAnsi="Times New Roman" w:cs="Times New Roman"/>
          <w:sz w:val="28"/>
          <w:szCs w:val="28"/>
        </w:rPr>
        <w:t>117</w:t>
      </w:r>
    </w:p>
    <w:p w14:paraId="21E86E16" w14:textId="77777777" w:rsidR="00F4356A" w:rsidRPr="00732CA0" w:rsidRDefault="00F4356A" w:rsidP="00F4356A">
      <w:pPr>
        <w:spacing w:after="0" w:line="240" w:lineRule="auto"/>
        <w:jc w:val="both"/>
        <w:rPr>
          <w:rFonts w:ascii="Times New Roman" w:hAnsi="Times New Roman" w:cs="Times New Roman"/>
          <w:bCs/>
          <w:sz w:val="28"/>
          <w:szCs w:val="28"/>
        </w:rPr>
      </w:pPr>
    </w:p>
    <w:p w14:paraId="6CD3FF5B" w14:textId="777AC3A9" w:rsidR="00F4356A" w:rsidRPr="00732CA0" w:rsidRDefault="00F4356A" w:rsidP="00F4356A">
      <w:pPr>
        <w:spacing w:after="0" w:line="240" w:lineRule="auto"/>
        <w:jc w:val="center"/>
        <w:rPr>
          <w:rFonts w:ascii="Times New Roman" w:eastAsia="Times New Roman" w:hAnsi="Times New Roman" w:cs="Times New Roman"/>
          <w:b/>
          <w:bCs/>
          <w:sz w:val="28"/>
          <w:szCs w:val="28"/>
        </w:rPr>
      </w:pPr>
      <w:r w:rsidRPr="00732CA0">
        <w:rPr>
          <w:rFonts w:ascii="Times New Roman" w:eastAsia="Times New Roman" w:hAnsi="Times New Roman" w:cs="Times New Roman"/>
          <w:b/>
          <w:bCs/>
          <w:sz w:val="28"/>
          <w:szCs w:val="28"/>
        </w:rPr>
        <w:t>2.1.1.1.i.</w:t>
      </w:r>
      <w:r w:rsidR="00BA4E14" w:rsidRPr="00732CA0">
        <w:rPr>
          <w:rFonts w:ascii="Times New Roman" w:eastAsia="Times New Roman" w:hAnsi="Times New Roman" w:cs="Times New Roman"/>
          <w:b/>
          <w:bCs/>
          <w:sz w:val="28"/>
          <w:szCs w:val="28"/>
        </w:rPr>
        <w:t> </w:t>
      </w:r>
      <w:r w:rsidRPr="00732CA0">
        <w:rPr>
          <w:rFonts w:ascii="Times New Roman" w:eastAsia="Times New Roman" w:hAnsi="Times New Roman" w:cs="Times New Roman"/>
          <w:b/>
          <w:bCs/>
          <w:sz w:val="28"/>
          <w:szCs w:val="28"/>
        </w:rPr>
        <w:t>investīcijas projekta "IKT vienota pārvaldība un digitālie risinājumi kultūras nozares institūcijām" pase</w:t>
      </w:r>
    </w:p>
    <w:p w14:paraId="1BF83D32" w14:textId="77777777" w:rsidR="00F4356A" w:rsidRPr="00732CA0" w:rsidRDefault="00F4356A" w:rsidP="00F4356A">
      <w:pPr>
        <w:spacing w:after="0" w:line="240" w:lineRule="auto"/>
        <w:jc w:val="both"/>
        <w:rPr>
          <w:rFonts w:ascii="Times New Roman" w:eastAsia="Times New Roman" w:hAnsi="Times New Roman" w:cs="Times New Roman"/>
          <w:bCs/>
          <w:sz w:val="24"/>
          <w:szCs w:val="24"/>
        </w:rPr>
      </w:pPr>
    </w:p>
    <w:p w14:paraId="1D5079D0" w14:textId="77777777" w:rsidR="00F4356A" w:rsidRPr="00732CA0" w:rsidRDefault="00F4356A" w:rsidP="00F4356A">
      <w:pPr>
        <w:spacing w:after="60" w:line="240" w:lineRule="auto"/>
        <w:jc w:val="both"/>
        <w:rPr>
          <w:rFonts w:ascii="Times New Roman" w:eastAsia="Times New Roman" w:hAnsi="Times New Roman" w:cs="Times New Roman"/>
          <w:b/>
          <w:sz w:val="24"/>
          <w:szCs w:val="24"/>
        </w:rPr>
      </w:pPr>
      <w:r w:rsidRPr="00732CA0">
        <w:rPr>
          <w:rFonts w:ascii="Times New Roman" w:eastAsia="Times New Roman" w:hAnsi="Times New Roman" w:cs="Times New Roman"/>
          <w:b/>
          <w:sz w:val="24"/>
          <w:szCs w:val="24"/>
        </w:rPr>
        <w:t>1.</w:t>
      </w:r>
      <w:r w:rsidRPr="00732CA0">
        <w:rPr>
          <w:rFonts w:ascii="Times New Roman" w:eastAsia="Times New Roman" w:hAnsi="Times New Roman" w:cs="Times New Roman"/>
        </w:rPr>
        <w:t> </w:t>
      </w:r>
      <w:r w:rsidRPr="00732CA0">
        <w:rPr>
          <w:rFonts w:ascii="Times New Roman" w:eastAsia="Times New Roman" w:hAnsi="Times New Roman" w:cs="Times New Roman"/>
          <w:b/>
          <w:sz w:val="24"/>
          <w:szCs w:val="24"/>
        </w:rPr>
        <w:t>Finansējuma saņēmējs, kas īsteno projektu</w:t>
      </w:r>
    </w:p>
    <w:tbl>
      <w:tblPr>
        <w:tblStyle w:val="TableGrid"/>
        <w:tblW w:w="9356" w:type="dxa"/>
        <w:tblInd w:w="-147" w:type="dxa"/>
        <w:tblLook w:val="04A0" w:firstRow="1" w:lastRow="0" w:firstColumn="1" w:lastColumn="0" w:noHBand="0" w:noVBand="1"/>
      </w:tblPr>
      <w:tblGrid>
        <w:gridCol w:w="2552"/>
        <w:gridCol w:w="6804"/>
      </w:tblGrid>
      <w:tr w:rsidR="00884D6B" w:rsidRPr="00732CA0" w14:paraId="70BD7527" w14:textId="77777777" w:rsidTr="00DC725F">
        <w:trPr>
          <w:trHeight w:val="378"/>
        </w:trPr>
        <w:tc>
          <w:tcPr>
            <w:tcW w:w="2552" w:type="dxa"/>
          </w:tcPr>
          <w:p w14:paraId="335DE174"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1.1. Finansējuma saņēmējs, </w:t>
            </w:r>
            <w:r w:rsidRPr="00732CA0">
              <w:rPr>
                <w:rFonts w:ascii="Times New Roman" w:eastAsia="Times New Roman" w:hAnsi="Times New Roman" w:cs="Times New Roman"/>
                <w:spacing w:val="-2"/>
                <w:sz w:val="20"/>
                <w:szCs w:val="20"/>
              </w:rPr>
              <w:t>kas īsteno projektu (institūcija)</w:t>
            </w:r>
          </w:p>
        </w:tc>
        <w:tc>
          <w:tcPr>
            <w:tcW w:w="6804" w:type="dxa"/>
          </w:tcPr>
          <w:p w14:paraId="339EDE28" w14:textId="77777777" w:rsidR="00F4356A" w:rsidRPr="00732CA0" w:rsidRDefault="00F4356A" w:rsidP="00DC725F">
            <w:pPr>
              <w:jc w:val="both"/>
              <w:rPr>
                <w:rFonts w:ascii="Times New Roman" w:eastAsia="Times New Roman" w:hAnsi="Times New Roman" w:cs="Times New Roman"/>
                <w:i/>
                <w:sz w:val="20"/>
                <w:szCs w:val="20"/>
              </w:rPr>
            </w:pPr>
            <w:r w:rsidRPr="00732CA0">
              <w:rPr>
                <w:rFonts w:ascii="Times New Roman" w:eastAsia="Times New Roman" w:hAnsi="Times New Roman" w:cs="Times New Roman"/>
                <w:sz w:val="20"/>
                <w:szCs w:val="20"/>
              </w:rPr>
              <w:t>Kultūras informācijas sistēmu centrs</w:t>
            </w:r>
          </w:p>
        </w:tc>
      </w:tr>
      <w:tr w:rsidR="00884D6B" w:rsidRPr="00732CA0" w14:paraId="1B404263" w14:textId="77777777" w:rsidTr="00DC725F">
        <w:tc>
          <w:tcPr>
            <w:tcW w:w="2552" w:type="dxa"/>
          </w:tcPr>
          <w:p w14:paraId="2F444418" w14:textId="77777777" w:rsidR="00F4356A" w:rsidRPr="00732CA0" w:rsidRDefault="00F4356A" w:rsidP="00DC725F">
            <w:pPr>
              <w:ind w:right="-57"/>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1.2. Projekta īstenošanas partneri </w:t>
            </w:r>
          </w:p>
        </w:tc>
        <w:tc>
          <w:tcPr>
            <w:tcW w:w="6804" w:type="dxa"/>
          </w:tcPr>
          <w:p w14:paraId="68F507FC" w14:textId="77777777" w:rsidR="00F4356A" w:rsidRPr="00732CA0" w:rsidRDefault="00F4356A" w:rsidP="00DC725F">
            <w:pPr>
              <w:jc w:val="both"/>
              <w:rPr>
                <w:rFonts w:ascii="Times New Roman" w:eastAsia="Times New Roman" w:hAnsi="Times New Roman" w:cs="Times New Roman"/>
                <w:i/>
                <w:sz w:val="20"/>
                <w:szCs w:val="20"/>
              </w:rPr>
            </w:pPr>
            <w:r w:rsidRPr="00732CA0">
              <w:rPr>
                <w:rFonts w:ascii="Times New Roman" w:eastAsia="Times New Roman" w:hAnsi="Times New Roman" w:cs="Times New Roman"/>
                <w:sz w:val="20"/>
                <w:szCs w:val="20"/>
              </w:rPr>
              <w:t>Latvijas Nacionālā bibliotēka</w:t>
            </w:r>
          </w:p>
        </w:tc>
      </w:tr>
    </w:tbl>
    <w:p w14:paraId="0B3FA2C4" w14:textId="77777777" w:rsidR="00F4356A" w:rsidRPr="00732CA0" w:rsidRDefault="00F4356A" w:rsidP="00F4356A">
      <w:pPr>
        <w:spacing w:after="0" w:line="240" w:lineRule="auto"/>
        <w:jc w:val="both"/>
        <w:rPr>
          <w:rFonts w:ascii="Times New Roman" w:eastAsia="Times New Roman" w:hAnsi="Times New Roman" w:cs="Times New Roman"/>
          <w:bCs/>
          <w:sz w:val="24"/>
          <w:szCs w:val="24"/>
        </w:rPr>
      </w:pPr>
    </w:p>
    <w:p w14:paraId="2353E1AB" w14:textId="77777777" w:rsidR="00F4356A" w:rsidRPr="00732CA0" w:rsidRDefault="00F4356A" w:rsidP="00F4356A">
      <w:pPr>
        <w:spacing w:after="60" w:line="240" w:lineRule="auto"/>
        <w:jc w:val="both"/>
        <w:rPr>
          <w:rFonts w:ascii="Times New Roman" w:eastAsia="Times New Roman" w:hAnsi="Times New Roman" w:cs="Times New Roman"/>
          <w:b/>
          <w:sz w:val="24"/>
          <w:szCs w:val="24"/>
        </w:rPr>
      </w:pPr>
      <w:r w:rsidRPr="00732CA0">
        <w:rPr>
          <w:rFonts w:ascii="Times New Roman" w:eastAsia="Times New Roman" w:hAnsi="Times New Roman" w:cs="Times New Roman"/>
          <w:b/>
          <w:sz w:val="24"/>
          <w:szCs w:val="24"/>
        </w:rPr>
        <w:t>2. Saistīto projektu programma</w:t>
      </w:r>
    </w:p>
    <w:tbl>
      <w:tblPr>
        <w:tblStyle w:val="TableGrid1"/>
        <w:tblW w:w="9356" w:type="dxa"/>
        <w:tblInd w:w="-147" w:type="dxa"/>
        <w:tblLayout w:type="fixed"/>
        <w:tblLook w:val="04A0" w:firstRow="1" w:lastRow="0" w:firstColumn="1" w:lastColumn="0" w:noHBand="0" w:noVBand="1"/>
      </w:tblPr>
      <w:tblGrid>
        <w:gridCol w:w="2552"/>
        <w:gridCol w:w="6804"/>
      </w:tblGrid>
      <w:tr w:rsidR="00884D6B" w:rsidRPr="00732CA0" w14:paraId="2D696ED8" w14:textId="77777777" w:rsidTr="00DC725F">
        <w:trPr>
          <w:trHeight w:val="378"/>
        </w:trPr>
        <w:tc>
          <w:tcPr>
            <w:tcW w:w="2552" w:type="dxa"/>
          </w:tcPr>
          <w:p w14:paraId="640513E4"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2.1. Programmas nosaukums </w:t>
            </w:r>
          </w:p>
        </w:tc>
        <w:tc>
          <w:tcPr>
            <w:tcW w:w="6804" w:type="dxa"/>
          </w:tcPr>
          <w:p w14:paraId="31D90991" w14:textId="77777777" w:rsidR="00F4356A" w:rsidRPr="00732CA0" w:rsidRDefault="00F4356A" w:rsidP="00DC725F">
            <w:pPr>
              <w:jc w:val="both"/>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Kultūras nozares projektu programma</w:t>
            </w:r>
          </w:p>
          <w:p w14:paraId="6E50BD30" w14:textId="77777777" w:rsidR="00F4356A" w:rsidRPr="00732CA0" w:rsidRDefault="00F4356A" w:rsidP="00DC725F">
            <w:pPr>
              <w:jc w:val="both"/>
              <w:rPr>
                <w:rFonts w:ascii="Times New Roman" w:eastAsia="Times New Roman" w:hAnsi="Times New Roman" w:cs="Times New Roman"/>
                <w:sz w:val="18"/>
                <w:szCs w:val="18"/>
              </w:rPr>
            </w:pPr>
          </w:p>
          <w:p w14:paraId="2A76DF83" w14:textId="77777777" w:rsidR="00F4356A" w:rsidRPr="00732CA0" w:rsidRDefault="00F4356A" w:rsidP="00DC725F">
            <w:pPr>
              <w:jc w:val="both"/>
              <w:rPr>
                <w:rFonts w:ascii="Times New Roman" w:eastAsia="Times New Roman" w:hAnsi="Times New Roman" w:cs="Times New Roman"/>
                <w:spacing w:val="-2"/>
                <w:sz w:val="20"/>
                <w:szCs w:val="20"/>
              </w:rPr>
            </w:pPr>
            <w:r w:rsidRPr="00732CA0">
              <w:rPr>
                <w:rFonts w:ascii="Times New Roman" w:hAnsi="Times New Roman" w:cs="Times New Roman"/>
                <w:spacing w:val="-2"/>
                <w:sz w:val="20"/>
                <w:szCs w:val="20"/>
              </w:rPr>
              <w:t xml:space="preserve">2.1.1.1.i. investīcijas projekti "IKT vienota pārvaldība un digitālie risinājumi kultūras nozares institūcijām" un "Mediju satura integrācija Latvijas digitālā kultūras mantojuma platformā" atbilst un tiks īstenoti </w:t>
            </w:r>
            <w:r w:rsidRPr="00732CA0">
              <w:rPr>
                <w:rFonts w:ascii="Times New Roman" w:eastAsia="Times New Roman" w:hAnsi="Times New Roman" w:cs="Times New Roman"/>
                <w:spacing w:val="-2"/>
                <w:sz w:val="20"/>
                <w:szCs w:val="20"/>
              </w:rPr>
              <w:t xml:space="preserve">Ministru kabineta </w:t>
            </w:r>
            <w:r w:rsidRPr="00732CA0">
              <w:rPr>
                <w:rFonts w:ascii="Times New Roman" w:hAnsi="Times New Roman" w:cs="Times New Roman"/>
                <w:spacing w:val="-2"/>
                <w:sz w:val="20"/>
                <w:szCs w:val="20"/>
              </w:rPr>
              <w:t>2022. gada 14. jūlija noteikumu Nr. 435 "Eiropas Savienības Atveseļošanas un noturības mehānisma plāna 2. komponentes "Digitālā transformācija" 2.1. reformu un investīciju virziena "Valsts pārvaldes, tai skaitā pašvaldību, digitālā transformācija" īstenošanas noteikumi" 4. pielikumā ietvertās Kultūras nozares projektu programmas investīcijas nolūka "2.1.1.1. Kultūras nozares institūciju darbības procesu digitālā transformācija, t. sk. digitālie risinājumi nozares institūcijām" ietvaros</w:t>
            </w:r>
          </w:p>
        </w:tc>
      </w:tr>
      <w:tr w:rsidR="00884D6B" w:rsidRPr="00732CA0" w14:paraId="02F49B06" w14:textId="77777777" w:rsidTr="00DC725F">
        <w:trPr>
          <w:trHeight w:val="378"/>
        </w:trPr>
        <w:tc>
          <w:tcPr>
            <w:tcW w:w="2552" w:type="dxa"/>
          </w:tcPr>
          <w:p w14:paraId="40CE2E88"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2.2. Saistība ar citiem projektiem</w:t>
            </w:r>
          </w:p>
        </w:tc>
        <w:tc>
          <w:tcPr>
            <w:tcW w:w="6804" w:type="dxa"/>
          </w:tcPr>
          <w:p w14:paraId="40DBFDFC" w14:textId="77777777" w:rsidR="00F4356A" w:rsidRPr="00732CA0" w:rsidRDefault="00F4356A" w:rsidP="00DC725F">
            <w:pPr>
              <w:jc w:val="both"/>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 xml:space="preserve">Eiropas Reģionālās attīstības fonda (ERAF) projektos </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Kultūras mantojuma satura digitalizācija (1. kārta)</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 xml:space="preserve"> (Nr. 2.2.1.2/17/I/001) (projekts noslēdzies) un </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Kultūras mantojuma satura digitalizācija (2. kārta)</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 xml:space="preserve"> (Nr. 2.2.1.2/19/I/001) (īstenošanas termiņš </w:t>
            </w:r>
            <w:r w:rsidRPr="00732CA0">
              <w:rPr>
                <w:rFonts w:ascii="Times New Roman" w:eastAsia="Times New Roman" w:hAnsi="Times New Roman" w:cs="Times New Roman"/>
                <w:sz w:val="20"/>
                <w:szCs w:val="20"/>
              </w:rPr>
              <w:t xml:space="preserve">– </w:t>
            </w:r>
            <w:r w:rsidRPr="00732CA0">
              <w:rPr>
                <w:rFonts w:ascii="Times New Roman" w:eastAsia="Times New Roman" w:hAnsi="Times New Roman" w:cs="Times New Roman"/>
                <w:spacing w:val="-2"/>
                <w:sz w:val="20"/>
                <w:szCs w:val="20"/>
              </w:rPr>
              <w:t xml:space="preserve">2022. gada 15. decembris) attīstīta vienota digitālā satura pārvaldības un saglabāšanas sistēma, izveidota vienota satura izplatīšanas sistēma, izstrādāta autortiesību pārvaldības un satura licencēšanas sistēma un kultūras pieminekļu informācijas pārvaldības sistēma </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Mantojums</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w:t>
            </w:r>
          </w:p>
          <w:p w14:paraId="52AB7993" w14:textId="77777777" w:rsidR="00F4356A" w:rsidRPr="00732CA0" w:rsidRDefault="00F4356A" w:rsidP="00DC725F">
            <w:pPr>
              <w:jc w:val="both"/>
              <w:rPr>
                <w:rFonts w:ascii="Times New Roman" w:eastAsia="Times New Roman" w:hAnsi="Times New Roman" w:cs="Times New Roman"/>
                <w:spacing w:val="-2"/>
                <w:sz w:val="18"/>
                <w:szCs w:val="18"/>
              </w:rPr>
            </w:pPr>
          </w:p>
          <w:p w14:paraId="1763CBC1"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ERAF projektā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 xml:space="preserve">Vienotās valsts arhīvu informācijas sistēmas izstrādes un </w:t>
            </w:r>
            <w:r w:rsidRPr="00732CA0">
              <w:rPr>
                <w:rFonts w:ascii="Times New Roman" w:eastAsia="Times New Roman" w:hAnsi="Times New Roman" w:cs="Times New Roman"/>
                <w:spacing w:val="-3"/>
                <w:sz w:val="20"/>
                <w:szCs w:val="20"/>
              </w:rPr>
              <w:t>ieviešanas 2. kārta</w:t>
            </w:r>
            <w:r w:rsidRPr="00732CA0">
              <w:rPr>
                <w:rFonts w:ascii="Times New Roman" w:hAnsi="Times New Roman" w:cs="Times New Roman"/>
                <w:spacing w:val="-3"/>
                <w:sz w:val="20"/>
                <w:szCs w:val="20"/>
              </w:rPr>
              <w:t>"</w:t>
            </w:r>
            <w:r w:rsidRPr="00732CA0">
              <w:rPr>
                <w:rFonts w:ascii="Times New Roman" w:eastAsia="Times New Roman" w:hAnsi="Times New Roman" w:cs="Times New Roman"/>
                <w:spacing w:val="-3"/>
                <w:sz w:val="20"/>
                <w:szCs w:val="20"/>
              </w:rPr>
              <w:t xml:space="preserve"> (Nr. 3DP/3.2.2.1.1/08/IPIA/IUMEPLS/016) (projekts noslēdzies)</w:t>
            </w:r>
            <w:r w:rsidRPr="00732CA0">
              <w:rPr>
                <w:rFonts w:ascii="Times New Roman" w:eastAsia="Times New Roman" w:hAnsi="Times New Roman" w:cs="Times New Roman"/>
                <w:sz w:val="20"/>
                <w:szCs w:val="20"/>
              </w:rPr>
              <w:t xml:space="preserve"> veikta Vienotās valsts arhīvu informācijas sistēmas (VVAIS) pilnveide, attīstot esošos un izstrādājot jaunus VVAIS moduļus, kuri atbalsta Latvijas Nacionālā arhīva (LNA) fonda dokumentu digitalizāciju un pieejamības nodrošināšanu, kā arī valsts un pašvaldību institūciju elektronisko dokumentu un datu centralizētu uzkrāšanu, saglabāšanu un pieejamību, lai veicinātu e-pārvaldes funkcionēšanu un e-pakalpojumu pieejamību sabiedrībai.</w:t>
            </w:r>
          </w:p>
          <w:p w14:paraId="6A8C6C4C" w14:textId="77777777" w:rsidR="00F4356A" w:rsidRPr="00732CA0" w:rsidRDefault="00F4356A" w:rsidP="00DC725F">
            <w:pPr>
              <w:jc w:val="both"/>
              <w:rPr>
                <w:rFonts w:ascii="Times New Roman" w:eastAsia="Times New Roman" w:hAnsi="Times New Roman" w:cs="Times New Roman"/>
                <w:spacing w:val="-2"/>
                <w:sz w:val="18"/>
                <w:szCs w:val="18"/>
              </w:rPr>
            </w:pPr>
          </w:p>
          <w:p w14:paraId="2823A0DD"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ERAF projektā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Nacionālā muzeju krājuma kopkataloga pilnveidošana, 2. kārta</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 xml:space="preserve"> (Nr. 3DP/3.2.2.1.1/08/IPIA/IUMEPLS/015) (projekts noslēdzies) dati par muzeju krājuma priekšmetiem apkopoti vienotā sistēmā, tādējādi padarot tos plaši pieejamus, tai skaitā kvalitatīvi un kvantitatīvi palielināts datubāzes saturs (muzeja priekšmetu aprakstu skaits, digitālie attēli, multimediju datnes).</w:t>
            </w:r>
          </w:p>
          <w:p w14:paraId="79DEFE6C" w14:textId="77777777" w:rsidR="00F4356A" w:rsidRPr="00732CA0" w:rsidRDefault="00F4356A" w:rsidP="00DC725F">
            <w:pPr>
              <w:jc w:val="both"/>
              <w:rPr>
                <w:rFonts w:ascii="Times New Roman" w:eastAsia="Times New Roman" w:hAnsi="Times New Roman" w:cs="Times New Roman"/>
                <w:spacing w:val="-2"/>
                <w:sz w:val="18"/>
                <w:szCs w:val="18"/>
              </w:rPr>
            </w:pPr>
          </w:p>
          <w:p w14:paraId="7AD361A7" w14:textId="77777777" w:rsidR="00F4356A" w:rsidRPr="00732CA0" w:rsidRDefault="00F4356A" w:rsidP="00DC725F">
            <w:pPr>
              <w:jc w:val="both"/>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 xml:space="preserve">Valsts pakalpojumu attīstības programmas ietvaros Valsts reģionālās attīstības aģentūras projektā </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Vienotā saziņas platforma, dokumentu krātuve un dokumentu pārvaldības platformu integrācija</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 xml:space="preserve"> tiks īstenota aktivitāte "Kultūras ministrijas vienotā dokumentu pārvaldības sistēma", kurā Kultūras ministrijas resorā tiks ieviesta vienota dokumentu pārvaldības sistēma. </w:t>
            </w:r>
          </w:p>
          <w:p w14:paraId="1A563D94" w14:textId="77777777" w:rsidR="00F4356A" w:rsidRPr="00732CA0" w:rsidRDefault="00F4356A" w:rsidP="00DC725F">
            <w:pPr>
              <w:jc w:val="both"/>
              <w:rPr>
                <w:rFonts w:ascii="Times New Roman" w:eastAsia="Times New Roman" w:hAnsi="Times New Roman" w:cs="Times New Roman"/>
                <w:spacing w:val="-2"/>
                <w:sz w:val="18"/>
                <w:szCs w:val="18"/>
              </w:rPr>
            </w:pPr>
          </w:p>
          <w:p w14:paraId="79851E9E"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lastRenderedPageBreak/>
              <w:t xml:space="preserve">Īstenojot investīcijas projektu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IKT vienota pārvaldība un digitālie risinājumi kultūras nozares institūcijām</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 xml:space="preserve"> (turpmāk – projekts), nepastāv dubultā finansējuma risks ar projektiem, kuros jau ir vai tiks izstrādāti digitālie risinājumi</w:t>
            </w:r>
          </w:p>
        </w:tc>
      </w:tr>
    </w:tbl>
    <w:p w14:paraId="7CEBDFF6" w14:textId="77777777" w:rsidR="00F4356A" w:rsidRPr="00732CA0" w:rsidRDefault="00F4356A" w:rsidP="00F4356A">
      <w:pPr>
        <w:spacing w:after="0" w:line="240" w:lineRule="auto"/>
        <w:jc w:val="both"/>
        <w:rPr>
          <w:rFonts w:ascii="Times New Roman" w:eastAsia="Times New Roman" w:hAnsi="Times New Roman" w:cs="Times New Roman"/>
          <w:bCs/>
          <w:sz w:val="24"/>
          <w:szCs w:val="24"/>
        </w:rPr>
      </w:pPr>
    </w:p>
    <w:p w14:paraId="7FFBD5B4" w14:textId="77777777" w:rsidR="00F4356A" w:rsidRPr="00732CA0" w:rsidRDefault="00F4356A" w:rsidP="00F4356A">
      <w:pPr>
        <w:spacing w:after="60" w:line="240" w:lineRule="auto"/>
        <w:jc w:val="both"/>
        <w:rPr>
          <w:rFonts w:ascii="Times New Roman" w:eastAsia="Times New Roman" w:hAnsi="Times New Roman" w:cs="Times New Roman"/>
          <w:b/>
          <w:sz w:val="24"/>
          <w:szCs w:val="24"/>
        </w:rPr>
      </w:pPr>
      <w:r w:rsidRPr="00732CA0">
        <w:rPr>
          <w:rFonts w:ascii="Times New Roman" w:eastAsia="Times New Roman" w:hAnsi="Times New Roman" w:cs="Times New Roman"/>
          <w:b/>
          <w:sz w:val="24"/>
          <w:szCs w:val="24"/>
        </w:rPr>
        <w:t>3. Projekta mērķis un galvenie ieguvumi</w:t>
      </w:r>
    </w:p>
    <w:tbl>
      <w:tblPr>
        <w:tblStyle w:val="TableGrid"/>
        <w:tblW w:w="9356" w:type="dxa"/>
        <w:tblInd w:w="-147" w:type="dxa"/>
        <w:tblLayout w:type="fixed"/>
        <w:tblLook w:val="04A0" w:firstRow="1" w:lastRow="0" w:firstColumn="1" w:lastColumn="0" w:noHBand="0" w:noVBand="1"/>
      </w:tblPr>
      <w:tblGrid>
        <w:gridCol w:w="2410"/>
        <w:gridCol w:w="4820"/>
        <w:gridCol w:w="850"/>
        <w:gridCol w:w="1276"/>
      </w:tblGrid>
      <w:tr w:rsidR="00884D6B" w:rsidRPr="00732CA0" w14:paraId="2F398959" w14:textId="77777777" w:rsidTr="00DC725F">
        <w:tc>
          <w:tcPr>
            <w:tcW w:w="2410" w:type="dxa"/>
          </w:tcPr>
          <w:p w14:paraId="7B425C8A"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3.1. Projekta mērķis un galvenais saturs</w:t>
            </w:r>
          </w:p>
        </w:tc>
        <w:tc>
          <w:tcPr>
            <w:tcW w:w="6946" w:type="dxa"/>
            <w:gridSpan w:val="3"/>
          </w:tcPr>
          <w:p w14:paraId="3BE5079B"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b/>
                <w:bCs/>
                <w:sz w:val="20"/>
                <w:szCs w:val="20"/>
              </w:rPr>
              <w:t>1. Nozares pamatdarbības procesu digitalizācija</w:t>
            </w:r>
          </w:p>
          <w:p w14:paraId="5C618752"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Tā ietver nozares pamatdarbības informācijas sistēmu (IS) pielāgošanu atbilstoši valsts</w:t>
            </w:r>
            <w:r w:rsidRPr="00732CA0">
              <w:rPr>
                <w:rFonts w:ascii="Times New Roman" w:eastAsia="Times New Roman" w:hAnsi="Times New Roman" w:cs="Times New Roman"/>
                <w:sz w:val="24"/>
                <w:szCs w:val="18"/>
              </w:rPr>
              <w:t xml:space="preserve"> </w:t>
            </w:r>
            <w:r w:rsidRPr="00732CA0">
              <w:rPr>
                <w:rFonts w:ascii="Times New Roman" w:eastAsia="Times New Roman" w:hAnsi="Times New Roman" w:cs="Times New Roman"/>
                <w:sz w:val="20"/>
                <w:szCs w:val="20"/>
              </w:rPr>
              <w:t xml:space="preserve">IKT </w:t>
            </w:r>
            <w:proofErr w:type="spellStart"/>
            <w:r w:rsidRPr="00732CA0">
              <w:rPr>
                <w:rFonts w:ascii="Times New Roman" w:eastAsia="Times New Roman" w:hAnsi="Times New Roman" w:cs="Times New Roman"/>
                <w:sz w:val="20"/>
                <w:szCs w:val="20"/>
              </w:rPr>
              <w:t>mērķarhitektūrai</w:t>
            </w:r>
            <w:proofErr w:type="spellEnd"/>
            <w:r w:rsidRPr="00732CA0">
              <w:rPr>
                <w:rFonts w:ascii="Times New Roman" w:eastAsia="Times New Roman" w:hAnsi="Times New Roman" w:cs="Times New Roman"/>
                <w:sz w:val="20"/>
                <w:szCs w:val="20"/>
              </w:rPr>
              <w:t xml:space="preserve"> (esošā valsts nozīmes bibliotēku kopkataloga pilnveide, Nacionālā muzeju krājuma kopkataloga pilnveide, IS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Mantojums</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 xml:space="preserve"> digitālo procesu pilnveide, VVAIS pakalpojumu digitālā transformācija un pilnveide).</w:t>
            </w:r>
          </w:p>
          <w:p w14:paraId="24912F9B" w14:textId="77777777" w:rsidR="00F4356A" w:rsidRPr="00732CA0" w:rsidRDefault="00F4356A" w:rsidP="00DC725F">
            <w:pPr>
              <w:jc w:val="both"/>
              <w:rPr>
                <w:rFonts w:ascii="Times New Roman" w:eastAsia="Times New Roman" w:hAnsi="Times New Roman" w:cs="Times New Roman"/>
                <w:sz w:val="20"/>
                <w:szCs w:val="20"/>
              </w:rPr>
            </w:pPr>
          </w:p>
          <w:p w14:paraId="70DC067A"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Projektā definētais mērķis tiešā veidā sekmē Digitālās transformācijas pamatnostādņu 2021.</w:t>
            </w:r>
            <w:r w:rsidRPr="00732CA0">
              <w:rPr>
                <w:rFonts w:ascii="Times New Roman" w:eastAsia="Times New Roman" w:hAnsi="Times New Roman" w:cs="Times New Roman"/>
                <w:sz w:val="20"/>
                <w:szCs w:val="20"/>
                <w:lang w:eastAsia="lv-LV"/>
              </w:rPr>
              <w:t>–</w:t>
            </w:r>
            <w:r w:rsidRPr="00732CA0">
              <w:rPr>
                <w:rFonts w:ascii="Times New Roman" w:eastAsia="Times New Roman" w:hAnsi="Times New Roman" w:cs="Times New Roman"/>
                <w:sz w:val="20"/>
                <w:szCs w:val="20"/>
              </w:rPr>
              <w:t xml:space="preserve">2027. gadam (apstiprinātas ar Ministru kabineta 2021. gada 7. jūlija rīkojumu Nr. 490) 4.4.8. rīcības virziena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Kultūras mantojuma saglabāšana un attīstība digitālajā vidē</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 xml:space="preserve"> noteikto mērķu un vīzijas sasniegšanu un Kultūrpolitikas pamatnostādnēs 2022.</w:t>
            </w:r>
            <w:r w:rsidRPr="00732CA0">
              <w:rPr>
                <w:rFonts w:ascii="Times New Roman" w:eastAsia="Times New Roman" w:hAnsi="Times New Roman" w:cs="Times New Roman"/>
                <w:sz w:val="20"/>
                <w:szCs w:val="20"/>
                <w:lang w:eastAsia="lv-LV"/>
              </w:rPr>
              <w:t>–</w:t>
            </w:r>
            <w:r w:rsidRPr="00732CA0">
              <w:rPr>
                <w:rFonts w:ascii="Times New Roman" w:eastAsia="Times New Roman" w:hAnsi="Times New Roman" w:cs="Times New Roman"/>
                <w:sz w:val="20"/>
                <w:szCs w:val="20"/>
              </w:rPr>
              <w:t xml:space="preserve">2027. gadam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Kultūrvalsts</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 xml:space="preserve"> noteikto mērķu izpildi.</w:t>
            </w:r>
          </w:p>
          <w:p w14:paraId="43F166DD" w14:textId="77777777" w:rsidR="00F4356A" w:rsidRPr="00732CA0" w:rsidRDefault="00F4356A" w:rsidP="00DC725F">
            <w:pPr>
              <w:jc w:val="both"/>
              <w:rPr>
                <w:rFonts w:ascii="Times New Roman" w:eastAsia="Times New Roman" w:hAnsi="Times New Roman" w:cs="Times New Roman"/>
                <w:sz w:val="20"/>
                <w:szCs w:val="20"/>
              </w:rPr>
            </w:pPr>
          </w:p>
          <w:p w14:paraId="1F03FF88"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Nozares IS, platformu un e-pakalpojumu izveide un pilnveide sekmēs gan esošo IS attīstību, pielāgojot tās mūsdienu prasībām (tai skaitā modernu tehnoloģisko risinājumu izmantošanai un pieejamības nodrošināšanai cilvēkiem ar īpašām vajadzībām), gan veicinās datu atkalizmantošanu izglītības un uzņēmējdarbības jomās, jaunu produktu un pakalpojumu radīšanā, gan arī veicinās vienotas digitālā kultūras mantojuma pārvaldības attīstību un sadarbību starp institūcijām. Tiks veicināta arī kultūras mantojuma un atmiņas institūciju sadarbība ar sabiedrību, tai skaitā kvalitatīvāka pakalpojumu nodrošināšana. </w:t>
            </w:r>
          </w:p>
          <w:p w14:paraId="776ED6AD" w14:textId="77777777" w:rsidR="00F4356A" w:rsidRPr="00732CA0" w:rsidRDefault="00F4356A" w:rsidP="00DC725F">
            <w:pPr>
              <w:jc w:val="both"/>
              <w:rPr>
                <w:rFonts w:ascii="Times New Roman" w:eastAsia="Times New Roman" w:hAnsi="Times New Roman" w:cs="Times New Roman"/>
                <w:sz w:val="20"/>
                <w:szCs w:val="20"/>
              </w:rPr>
            </w:pPr>
          </w:p>
          <w:p w14:paraId="722E959E" w14:textId="77777777" w:rsidR="00F4356A" w:rsidRPr="00732CA0" w:rsidRDefault="00F4356A" w:rsidP="00DC725F">
            <w:pPr>
              <w:jc w:val="both"/>
              <w:rPr>
                <w:rFonts w:ascii="Times New Roman" w:eastAsia="Times New Roman" w:hAnsi="Times New Roman" w:cs="Times New Roman"/>
                <w:i/>
                <w:iCs/>
                <w:sz w:val="20"/>
                <w:szCs w:val="20"/>
              </w:rPr>
            </w:pPr>
            <w:r w:rsidRPr="00732CA0">
              <w:rPr>
                <w:rFonts w:ascii="Times New Roman" w:eastAsia="Times New Roman" w:hAnsi="Times New Roman" w:cs="Times New Roman"/>
                <w:sz w:val="20"/>
                <w:szCs w:val="20"/>
              </w:rPr>
              <w:t>Jaunu e-pakalpojumu nodrošināšana un esošo uzlabošana nodrošinās administratīvā sloga samazinājumu.</w:t>
            </w:r>
          </w:p>
          <w:p w14:paraId="002EC876" w14:textId="77777777" w:rsidR="00F4356A" w:rsidRPr="00732CA0" w:rsidRDefault="00F4356A" w:rsidP="00DC725F">
            <w:pPr>
              <w:jc w:val="both"/>
              <w:rPr>
                <w:rFonts w:ascii="Times New Roman" w:eastAsia="Times New Roman" w:hAnsi="Times New Roman" w:cs="Times New Roman"/>
                <w:sz w:val="20"/>
                <w:szCs w:val="20"/>
              </w:rPr>
            </w:pPr>
          </w:p>
          <w:p w14:paraId="1DCD064D"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b/>
                <w:bCs/>
                <w:sz w:val="20"/>
                <w:szCs w:val="20"/>
              </w:rPr>
              <w:t>2. Kultūras ministrijas resora centralizēta IKT pārvaldības pilnveidošana</w:t>
            </w:r>
          </w:p>
          <w:p w14:paraId="5D776AA0"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Tā ietver vienotas infrastruktūras, datoru pārvaldības, drošības risinājumu, lietotāju </w:t>
            </w:r>
            <w:r w:rsidRPr="00732CA0">
              <w:rPr>
                <w:rFonts w:ascii="Times New Roman" w:eastAsia="Times New Roman" w:hAnsi="Times New Roman" w:cs="Times New Roman"/>
                <w:spacing w:val="-2"/>
                <w:sz w:val="20"/>
                <w:szCs w:val="20"/>
              </w:rPr>
              <w:t>kontu, programmatūras, atbalsta dienesta ieviešanu un uzlabošanu KM resorā, tādējādi</w:t>
            </w:r>
            <w:r w:rsidRPr="00732CA0">
              <w:rPr>
                <w:rFonts w:ascii="Times New Roman" w:eastAsia="Times New Roman" w:hAnsi="Times New Roman" w:cs="Times New Roman"/>
                <w:sz w:val="20"/>
                <w:szCs w:val="20"/>
              </w:rPr>
              <w:t xml:space="preserve"> uzlabojot iestāžu ikdienas pamatdarbības procesus, tai skaitā efektīvu IKT resursu pārdali, IKT kompetenču paaugstināšanu, administratīvo izmaksu samazinājumu.</w:t>
            </w:r>
          </w:p>
          <w:p w14:paraId="49425C42" w14:textId="77777777" w:rsidR="00F4356A" w:rsidRPr="00732CA0" w:rsidRDefault="00F4356A" w:rsidP="00DC725F">
            <w:pPr>
              <w:jc w:val="both"/>
              <w:rPr>
                <w:rFonts w:ascii="Times New Roman" w:eastAsia="Times New Roman" w:hAnsi="Times New Roman" w:cs="Times New Roman"/>
                <w:sz w:val="20"/>
                <w:szCs w:val="20"/>
              </w:rPr>
            </w:pPr>
          </w:p>
          <w:p w14:paraId="11DA2B8B"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pacing w:val="-2"/>
                <w:sz w:val="20"/>
                <w:szCs w:val="20"/>
              </w:rPr>
              <w:t xml:space="preserve">Atbilstoši koncepcijai </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Valsts informācijas un komunikācijas tehnoloģiju pārvaldības</w:t>
            </w:r>
            <w:r w:rsidRPr="00732CA0">
              <w:rPr>
                <w:rFonts w:ascii="Times New Roman" w:eastAsia="Times New Roman" w:hAnsi="Times New Roman" w:cs="Times New Roman"/>
                <w:sz w:val="20"/>
                <w:szCs w:val="20"/>
              </w:rPr>
              <w:t xml:space="preserve"> organizatoriskais modelis</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 xml:space="preserve"> (atbalstīta ar Ministru kabineta 2013. gada 19. februāra rīkojumu Nr. 57) KM ir pieņēmusi lēmumu noteikt Kultūras informācijas sistēmu centru (KISC) par resora IKT pārvaldnieku, kas kopā ar KM IT nodaļu</w:t>
            </w:r>
            <w:r w:rsidRPr="00732CA0">
              <w:rPr>
                <w:rFonts w:ascii="Times New Roman" w:hAnsi="Times New Roman" w:cs="Times New Roman"/>
              </w:rPr>
              <w:t xml:space="preserve"> īsteno</w:t>
            </w:r>
            <w:r w:rsidRPr="00732CA0">
              <w:rPr>
                <w:rFonts w:ascii="Times New Roman" w:eastAsia="Times New Roman" w:hAnsi="Times New Roman" w:cs="Times New Roman"/>
                <w:sz w:val="20"/>
                <w:szCs w:val="20"/>
              </w:rPr>
              <w:t>s centralizētas pārvaldības pilnveidošanu.</w:t>
            </w:r>
          </w:p>
          <w:p w14:paraId="79C5259F" w14:textId="77777777" w:rsidR="00F4356A" w:rsidRPr="00732CA0" w:rsidRDefault="00F4356A" w:rsidP="00DC725F">
            <w:pPr>
              <w:jc w:val="both"/>
              <w:rPr>
                <w:rFonts w:ascii="Times New Roman" w:eastAsia="Times New Roman" w:hAnsi="Times New Roman" w:cs="Times New Roman"/>
                <w:sz w:val="20"/>
                <w:szCs w:val="20"/>
              </w:rPr>
            </w:pPr>
          </w:p>
          <w:p w14:paraId="1B413276" w14:textId="033A747E" w:rsidR="00F4356A" w:rsidRPr="00732CA0" w:rsidRDefault="00F4356A" w:rsidP="00DC725F">
            <w:pPr>
              <w:jc w:val="both"/>
              <w:rPr>
                <w:rFonts w:ascii="Times New Roman" w:eastAsia="Times New Roman" w:hAnsi="Times New Roman" w:cs="Times New Roman"/>
                <w:iCs/>
                <w:sz w:val="20"/>
                <w:szCs w:val="20"/>
              </w:rPr>
            </w:pPr>
            <w:r w:rsidRPr="00732CA0">
              <w:rPr>
                <w:rFonts w:ascii="Times New Roman" w:eastAsia="Times New Roman" w:hAnsi="Times New Roman" w:cs="Times New Roman"/>
                <w:sz w:val="20"/>
                <w:szCs w:val="20"/>
              </w:rPr>
              <w:t xml:space="preserve">Projekta mērķi veicina </w:t>
            </w:r>
            <w:r w:rsidRPr="00732CA0">
              <w:rPr>
                <w:rFonts w:ascii="Times New Roman" w:hAnsi="Times New Roman" w:cs="Times New Roman"/>
                <w:sz w:val="20"/>
                <w:szCs w:val="20"/>
              </w:rPr>
              <w:t xml:space="preserve">Eiropas Savienības </w:t>
            </w:r>
            <w:r w:rsidRPr="00732CA0">
              <w:rPr>
                <w:rFonts w:ascii="Times New Roman" w:eastAsia="Times New Roman" w:hAnsi="Times New Roman" w:cs="Times New Roman"/>
                <w:sz w:val="20"/>
                <w:szCs w:val="20"/>
              </w:rPr>
              <w:t xml:space="preserve">Atveseļošanas un noturības mehānisma (ANM) plāna 2. komponentes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Digitālā transformācija</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 xml:space="preserve"> 2.1. reformu un investīciju virziena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Valsts pārvaldes, tai skaitā pašvaldību, digitālā transformācija</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rPr>
              <w:t xml:space="preserve"> 2.1.1.1.i. investīcijas </w:t>
            </w:r>
            <w:r w:rsidRPr="00732CA0">
              <w:rPr>
                <w:rFonts w:ascii="Times New Roman" w:hAnsi="Times New Roman" w:cs="Times New Roman"/>
                <w:sz w:val="20"/>
                <w:szCs w:val="20"/>
              </w:rPr>
              <w:t>"Pārvaldes modernizācija un pakalpojumu digitālā transformācija, tai skaitā uzņēmējdarbības vide"</w:t>
            </w:r>
            <w:r w:rsidRPr="00732CA0">
              <w:rPr>
                <w:rFonts w:ascii="Times New Roman" w:hAnsi="Times New Roman" w:cs="Times New Roman"/>
              </w:rPr>
              <w:t xml:space="preserve"> </w:t>
            </w:r>
            <w:r w:rsidRPr="00732CA0">
              <w:rPr>
                <w:rFonts w:ascii="Times New Roman" w:eastAsia="Times New Roman" w:hAnsi="Times New Roman" w:cs="Times New Roman"/>
                <w:sz w:val="20"/>
                <w:szCs w:val="20"/>
              </w:rPr>
              <w:t>mērķu izpildi – tiek veicināta būtisku valsts IS modernizācija, izstrādājot jaunus un papildinot esošos e-pakalpojumus un platformas, tai skaitā atvieglinot pakalpojumu saņemšanu, integrējot vienotā kultūras mantojuma institūciju IS aprites procesā (integrācija ar Atsauces datu reģistrācijas sistēmu (ATS), iekļaujot mašīntulkošanas rīkus), kā arī veicinot atvērto datu pieejamību. Centralizēta KM resora IKT pārvaldības pilnveidošana sekmēs valsts pārvaldes modernizāciju, vienota atbalsta sniegšanu un kvalitatīvāku pakalpojumu izstrādi un nodrošināšanu KM resorā</w:t>
            </w:r>
          </w:p>
        </w:tc>
      </w:tr>
      <w:tr w:rsidR="00884D6B" w:rsidRPr="00732CA0" w14:paraId="22437299" w14:textId="77777777" w:rsidTr="00DC725F">
        <w:tc>
          <w:tcPr>
            <w:tcW w:w="2410" w:type="dxa"/>
          </w:tcPr>
          <w:p w14:paraId="4D56E2D0"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3.2. Projekta pamatojums </w:t>
            </w:r>
            <w:r w:rsidRPr="00732CA0">
              <w:rPr>
                <w:rFonts w:ascii="Times New Roman" w:eastAsia="Times New Roman" w:hAnsi="Times New Roman" w:cs="Times New Roman"/>
                <w:spacing w:val="-2"/>
                <w:sz w:val="20"/>
                <w:szCs w:val="20"/>
              </w:rPr>
              <w:t>(aktualitāte/nepieciešamība/</w:t>
            </w:r>
            <w:r w:rsidRPr="00732CA0">
              <w:rPr>
                <w:rFonts w:ascii="Times New Roman" w:eastAsia="Times New Roman" w:hAnsi="Times New Roman" w:cs="Times New Roman"/>
                <w:spacing w:val="-2"/>
                <w:sz w:val="20"/>
                <w:szCs w:val="20"/>
              </w:rPr>
              <w:br/>
            </w:r>
            <w:r w:rsidRPr="00732CA0">
              <w:rPr>
                <w:rFonts w:ascii="Times New Roman" w:eastAsia="Times New Roman" w:hAnsi="Times New Roman" w:cs="Times New Roman"/>
                <w:sz w:val="20"/>
                <w:szCs w:val="20"/>
              </w:rPr>
              <w:t xml:space="preserve">risināmā problēma) </w:t>
            </w:r>
          </w:p>
        </w:tc>
        <w:tc>
          <w:tcPr>
            <w:tcW w:w="6946" w:type="dxa"/>
            <w:gridSpan w:val="3"/>
          </w:tcPr>
          <w:p w14:paraId="19482A58" w14:textId="77777777" w:rsidR="00F4356A" w:rsidRPr="00732CA0" w:rsidRDefault="00F4356A" w:rsidP="00DC725F">
            <w:pPr>
              <w:jc w:val="both"/>
              <w:rPr>
                <w:rFonts w:ascii="Times New Roman" w:eastAsia="Times New Roman" w:hAnsi="Times New Roman" w:cs="Times New Roman"/>
                <w:i/>
                <w:iCs/>
                <w:sz w:val="20"/>
                <w:szCs w:val="20"/>
                <w:lang w:val="lv"/>
              </w:rPr>
            </w:pPr>
            <w:r w:rsidRPr="00732CA0">
              <w:rPr>
                <w:rFonts w:ascii="Times New Roman" w:eastAsia="Times New Roman" w:hAnsi="Times New Roman" w:cs="Times New Roman"/>
                <w:spacing w:val="-2"/>
                <w:sz w:val="20"/>
                <w:szCs w:val="20"/>
                <w:lang w:val="lv"/>
              </w:rPr>
              <w:t>Kultūras mantojuma institūciju IS izmantojums un digitālā kultūras satura pieprasījums</w:t>
            </w:r>
            <w:r w:rsidRPr="00732CA0">
              <w:rPr>
                <w:rFonts w:ascii="Times New Roman" w:eastAsia="Times New Roman" w:hAnsi="Times New Roman" w:cs="Times New Roman"/>
                <w:sz w:val="20"/>
                <w:szCs w:val="20"/>
                <w:lang w:val="lv"/>
              </w:rPr>
              <w:t xml:space="preserve"> arvien pieaug, to pierāda arī 2020. gadā veiktais pētījums par kultūras patēriņu – tai skaitā digitālā vidē (Latvijas Kultūras akadēmija, SIA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lang w:val="lv"/>
              </w:rPr>
              <w:t>Analītisko pētījumu un stratēģiju laboratorija</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lang w:val="lv"/>
              </w:rPr>
              <w:t xml:space="preserve"> un SIA </w:t>
            </w:r>
            <w:r w:rsidRPr="00732CA0">
              <w:rPr>
                <w:rFonts w:ascii="Times New Roman" w:hAnsi="Times New Roman" w:cs="Times New Roman"/>
                <w:sz w:val="20"/>
                <w:szCs w:val="20"/>
              </w:rPr>
              <w:t>"</w:t>
            </w:r>
            <w:r w:rsidRPr="00732CA0">
              <w:rPr>
                <w:rFonts w:ascii="Times New Roman" w:eastAsia="Times New Roman" w:hAnsi="Times New Roman" w:cs="Times New Roman"/>
                <w:sz w:val="20"/>
                <w:szCs w:val="20"/>
                <w:lang w:val="lv"/>
              </w:rPr>
              <w:t>SKDS", "Kultūras patēriņa un līdzdalības ietekmes pētījums", 2020.</w:t>
            </w:r>
            <w:r w:rsidRPr="00732CA0">
              <w:rPr>
                <w:rFonts w:ascii="Times New Roman" w:eastAsia="Times New Roman" w:hAnsi="Times New Roman" w:cs="Times New Roman"/>
                <w:i/>
                <w:iCs/>
                <w:sz w:val="20"/>
                <w:szCs w:val="20"/>
                <w:lang w:val="lv"/>
              </w:rPr>
              <w:t xml:space="preserve"> </w:t>
            </w:r>
            <w:r w:rsidRPr="00732CA0">
              <w:rPr>
                <w:rFonts w:ascii="Times New Roman" w:eastAsia="Times New Roman" w:hAnsi="Times New Roman" w:cs="Times New Roman"/>
                <w:sz w:val="20"/>
                <w:szCs w:val="20"/>
                <w:lang w:val="lv"/>
              </w:rPr>
              <w:t>(</w:t>
            </w:r>
            <w:r w:rsidRPr="00732CA0">
              <w:rPr>
                <w:rFonts w:ascii="Times New Roman" w:eastAsia="Times New Roman" w:hAnsi="Times New Roman" w:cs="Times New Roman"/>
                <w:i/>
                <w:iCs/>
                <w:sz w:val="20"/>
                <w:szCs w:val="20"/>
                <w:lang w:val="lv"/>
              </w:rPr>
              <w:t xml:space="preserve">pieejams: </w:t>
            </w:r>
            <w:hyperlink r:id="rId7">
              <w:r w:rsidRPr="00732CA0">
                <w:rPr>
                  <w:rStyle w:val="Hyperlink"/>
                  <w:rFonts w:ascii="Times New Roman" w:eastAsia="Segoe UI" w:hAnsi="Times New Roman" w:cs="Times New Roman"/>
                  <w:color w:val="auto"/>
                  <w:sz w:val="20"/>
                  <w:szCs w:val="20"/>
                  <w:lang w:val="lv"/>
                </w:rPr>
                <w:t>https://www.km.gov.lv/lv/media/11801/download</w:t>
              </w:r>
            </w:hyperlink>
            <w:r w:rsidRPr="00732CA0">
              <w:rPr>
                <w:rStyle w:val="Hyperlink"/>
                <w:rFonts w:ascii="Times New Roman" w:eastAsia="Times New Roman" w:hAnsi="Times New Roman" w:cs="Times New Roman"/>
                <w:color w:val="auto"/>
                <w:sz w:val="20"/>
                <w:szCs w:val="20"/>
                <w:lang w:val="lv"/>
              </w:rPr>
              <w:t xml:space="preserve">)). </w:t>
            </w:r>
            <w:r w:rsidRPr="00732CA0">
              <w:rPr>
                <w:rFonts w:ascii="Times New Roman" w:eastAsia="Times New Roman" w:hAnsi="Times New Roman" w:cs="Times New Roman"/>
                <w:sz w:val="20"/>
                <w:szCs w:val="20"/>
                <w:lang w:val="lv"/>
              </w:rPr>
              <w:t xml:space="preserve">No tā izriet nepieciešamība kultūras mantojuma institūciju IS attīstīt atbilstoši mūsdienu </w:t>
            </w:r>
            <w:r w:rsidRPr="00732CA0">
              <w:rPr>
                <w:rFonts w:ascii="Times New Roman" w:eastAsia="Times New Roman" w:hAnsi="Times New Roman" w:cs="Times New Roman"/>
                <w:sz w:val="20"/>
                <w:szCs w:val="20"/>
                <w:lang w:val="lv"/>
              </w:rPr>
              <w:lastRenderedPageBreak/>
              <w:t>digitālā lietotāja prasībām, tādējādi veicinot valsts kultūras mantojuma pieejamības nodrošināšanu, ilgtermiņa saglabāšanu un datu izmantošanu dažādās jomās.</w:t>
            </w:r>
          </w:p>
          <w:p w14:paraId="008D3136" w14:textId="77777777" w:rsidR="00F4356A" w:rsidRPr="00732CA0" w:rsidRDefault="00F4356A" w:rsidP="00DC725F">
            <w:pPr>
              <w:jc w:val="both"/>
              <w:rPr>
                <w:rFonts w:ascii="Times New Roman" w:eastAsia="Times New Roman" w:hAnsi="Times New Roman" w:cs="Times New Roman"/>
                <w:sz w:val="20"/>
                <w:szCs w:val="20"/>
              </w:rPr>
            </w:pPr>
          </w:p>
          <w:p w14:paraId="43A5A3C8" w14:textId="77777777" w:rsidR="00F4356A" w:rsidRPr="00732CA0" w:rsidRDefault="00F4356A" w:rsidP="00DC725F">
            <w:pPr>
              <w:spacing w:after="120"/>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Projektā paredzēta arī četru IS pilnveide:</w:t>
            </w:r>
          </w:p>
          <w:p w14:paraId="44890E38" w14:textId="461C66BC" w:rsidR="00F4356A" w:rsidRPr="00732CA0" w:rsidRDefault="00F4356A" w:rsidP="00F4356A">
            <w:pPr>
              <w:pStyle w:val="ListParagraph"/>
              <w:numPr>
                <w:ilvl w:val="0"/>
                <w:numId w:val="23"/>
              </w:numPr>
              <w:ind w:left="320" w:hanging="284"/>
              <w:jc w:val="both"/>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Gan</w:t>
            </w:r>
            <w:r w:rsidRPr="00732CA0">
              <w:rPr>
                <w:rFonts w:ascii="Times New Roman" w:eastAsia="Times New Roman" w:hAnsi="Times New Roman" w:cs="Times New Roman"/>
                <w:b/>
                <w:bCs/>
                <w:spacing w:val="-2"/>
                <w:sz w:val="20"/>
                <w:szCs w:val="20"/>
              </w:rPr>
              <w:t xml:space="preserve"> LNA e-pakalpojumu portāls</w:t>
            </w:r>
            <w:r w:rsidRPr="00732CA0">
              <w:rPr>
                <w:rFonts w:ascii="Times New Roman" w:eastAsia="Times New Roman" w:hAnsi="Times New Roman" w:cs="Times New Roman"/>
                <w:spacing w:val="-2"/>
                <w:sz w:val="20"/>
                <w:szCs w:val="20"/>
              </w:rPr>
              <w:t xml:space="preserve"> (</w:t>
            </w:r>
            <w:hyperlink r:id="rId8" w:history="1">
              <w:r w:rsidRPr="00732CA0">
                <w:rPr>
                  <w:rStyle w:val="Hyperlink"/>
                  <w:rFonts w:ascii="Times New Roman" w:eastAsia="Times New Roman" w:hAnsi="Times New Roman" w:cs="Times New Roman"/>
                  <w:color w:val="auto"/>
                  <w:spacing w:val="-2"/>
                  <w:sz w:val="20"/>
                  <w:szCs w:val="20"/>
                </w:rPr>
                <w:t>eresursi.arhivi.gov.lv</w:t>
              </w:r>
            </w:hyperlink>
            <w:r w:rsidRPr="00732CA0">
              <w:rPr>
                <w:rFonts w:ascii="Times New Roman" w:eastAsia="Times New Roman" w:hAnsi="Times New Roman" w:cs="Times New Roman"/>
                <w:spacing w:val="-2"/>
                <w:sz w:val="20"/>
                <w:szCs w:val="20"/>
              </w:rPr>
              <w:t xml:space="preserve">), gan </w:t>
            </w:r>
            <w:r w:rsidRPr="00732CA0">
              <w:rPr>
                <w:rFonts w:ascii="Times New Roman" w:eastAsia="Times New Roman" w:hAnsi="Times New Roman" w:cs="Times New Roman"/>
                <w:b/>
                <w:bCs/>
                <w:spacing w:val="-2"/>
                <w:sz w:val="20"/>
                <w:szCs w:val="20"/>
              </w:rPr>
              <w:t>Nacionālā muzeju krājuma kopkataloga</w:t>
            </w:r>
            <w:r w:rsidRPr="00732CA0">
              <w:rPr>
                <w:rFonts w:ascii="Times New Roman" w:eastAsia="Times New Roman" w:hAnsi="Times New Roman" w:cs="Times New Roman"/>
                <w:spacing w:val="-2"/>
                <w:sz w:val="20"/>
                <w:szCs w:val="20"/>
              </w:rPr>
              <w:t xml:space="preserve"> (NMKK) (</w:t>
            </w:r>
            <w:hyperlink r:id="rId9" w:history="1">
              <w:r w:rsidRPr="00732CA0">
                <w:rPr>
                  <w:rStyle w:val="Hyperlink"/>
                  <w:rFonts w:ascii="Times New Roman" w:eastAsia="Times New Roman" w:hAnsi="Times New Roman" w:cs="Times New Roman"/>
                  <w:color w:val="auto"/>
                  <w:spacing w:val="-2"/>
                  <w:sz w:val="20"/>
                  <w:szCs w:val="20"/>
                </w:rPr>
                <w:t>www.nmkk.lv</w:t>
              </w:r>
            </w:hyperlink>
            <w:r w:rsidRPr="00732CA0">
              <w:rPr>
                <w:rFonts w:ascii="Times New Roman" w:eastAsia="Times New Roman" w:hAnsi="Times New Roman" w:cs="Times New Roman"/>
                <w:spacing w:val="-2"/>
                <w:sz w:val="20"/>
                <w:szCs w:val="20"/>
              </w:rPr>
              <w:t xml:space="preserve">) publiskais portāls ir veidots pirms 10 gadiem, un daudzi risinājumi kļuvuši lietotājiem neērti. Gan portālos iegūstamo pakalpojumu un pieejamās informācijas apjoms (~1,8 milj. muzeju priekšmetu NMKK, pieaugums ~180 000 priekšmetu gadā), gan pieprasījumu skaits LNA e-pakalpojumu portālā (2019. gadā – 2211 pieprasījumi, 2020. gadā – 3191 pieprasījums, 2021. gadā – 4760 pieprasījumi) norāda uz nepieciešamību lietotāju pieredzi padarīt ērtāku, nodrošināt atbilstību piekļūstamības prasībām un piekļuvi no mobilajām ierīcēm, tādēļ nepieciešams pilnveidot esošo NMKK portālu un izveidot jaunu LNA pakalpojumu vietni. </w:t>
            </w:r>
            <w:r w:rsidRPr="00732CA0">
              <w:rPr>
                <w:rFonts w:ascii="Times New Roman" w:eastAsia="Times New Roman" w:hAnsi="Times New Roman" w:cs="Times New Roman"/>
                <w:sz w:val="20"/>
                <w:szCs w:val="20"/>
              </w:rPr>
              <w:t xml:space="preserve">Nepieciešams modernizēt </w:t>
            </w:r>
            <w:r w:rsidR="003C5E66" w:rsidRPr="00732CA0">
              <w:rPr>
                <w:rFonts w:ascii="Times New Roman" w:eastAsia="Times New Roman" w:hAnsi="Times New Roman" w:cs="Times New Roman"/>
                <w:sz w:val="20"/>
                <w:szCs w:val="20"/>
              </w:rPr>
              <w:t xml:space="preserve">LNA </w:t>
            </w:r>
            <w:r w:rsidRPr="00732CA0">
              <w:rPr>
                <w:rFonts w:ascii="Times New Roman" w:eastAsia="Times New Roman" w:hAnsi="Times New Roman" w:cs="Times New Roman"/>
                <w:sz w:val="20"/>
                <w:szCs w:val="20"/>
              </w:rPr>
              <w:t>arhīva izziņu apstrādes sistēmu, tostarp darbplūsmu un pakalpojuma rezultātu sagatavošanas procesus, lai paātrinātu un padarītu efektīvāku pakalpojuma sniegšanu.</w:t>
            </w:r>
            <w:r w:rsidRPr="00732CA0">
              <w:rPr>
                <w:rFonts w:ascii="Times New Roman" w:eastAsia="Times New Roman" w:hAnsi="Times New Roman" w:cs="Times New Roman"/>
                <w:spacing w:val="-2"/>
                <w:sz w:val="20"/>
                <w:szCs w:val="20"/>
              </w:rPr>
              <w:t xml:space="preserve"> Papildus nepieciešams veikt uzlabojumus arī NMKK darba vidē, lai atvieglinātu darbu ar muzeju krājumu pārvaldību vairāk nekā 700 lietotājiem no visiem Latvijas akreditētajiem muzejiem. Ja projekts netiks īstenots, ir paredzams risks gan zaudēt potenciālos lietotājus un datu dažādās izmantošanas iespējas, gan turpmāk arvien vairāk apgrūtināt esošo lietotāju darba veikšanu sakarā ar sistēmu novecošanu. </w:t>
            </w:r>
          </w:p>
          <w:p w14:paraId="58F34220" w14:textId="77777777" w:rsidR="00F4356A" w:rsidRPr="00732CA0" w:rsidRDefault="00F4356A" w:rsidP="00DC725F">
            <w:pPr>
              <w:jc w:val="both"/>
              <w:rPr>
                <w:rFonts w:ascii="Times New Roman" w:eastAsia="Times New Roman" w:hAnsi="Times New Roman" w:cs="Times New Roman"/>
                <w:sz w:val="20"/>
                <w:szCs w:val="20"/>
              </w:rPr>
            </w:pPr>
          </w:p>
          <w:p w14:paraId="073C9FEB" w14:textId="77777777" w:rsidR="00F4356A" w:rsidRPr="00732CA0" w:rsidRDefault="00F4356A" w:rsidP="00F4356A">
            <w:pPr>
              <w:pStyle w:val="ListParagraph"/>
              <w:numPr>
                <w:ilvl w:val="0"/>
                <w:numId w:val="23"/>
              </w:numPr>
              <w:ind w:left="320" w:hanging="284"/>
              <w:jc w:val="both"/>
              <w:rPr>
                <w:rFonts w:ascii="Times New Roman" w:eastAsia="Times New Roman" w:hAnsi="Times New Roman" w:cs="Times New Roman"/>
                <w:spacing w:val="-2"/>
                <w:sz w:val="20"/>
                <w:szCs w:val="20"/>
              </w:rPr>
            </w:pPr>
            <w:r w:rsidRPr="00732CA0">
              <w:rPr>
                <w:rFonts w:ascii="Times New Roman" w:eastAsia="Times New Roman" w:hAnsi="Times New Roman" w:cs="Times New Roman"/>
                <w:b/>
                <w:bCs/>
                <w:spacing w:val="-2"/>
                <w:sz w:val="20"/>
                <w:szCs w:val="20"/>
              </w:rPr>
              <w:t xml:space="preserve">IS </w:t>
            </w:r>
            <w:r w:rsidRPr="00732CA0">
              <w:rPr>
                <w:rFonts w:ascii="Times New Roman" w:hAnsi="Times New Roman" w:cs="Times New Roman"/>
                <w:spacing w:val="-2"/>
                <w:sz w:val="20"/>
                <w:szCs w:val="20"/>
              </w:rPr>
              <w:t>"</w:t>
            </w:r>
            <w:r w:rsidRPr="00732CA0">
              <w:rPr>
                <w:rFonts w:ascii="Times New Roman" w:eastAsia="Times New Roman" w:hAnsi="Times New Roman" w:cs="Times New Roman"/>
                <w:b/>
                <w:bCs/>
                <w:spacing w:val="-2"/>
                <w:sz w:val="20"/>
                <w:szCs w:val="20"/>
              </w:rPr>
              <w:t>Mantojums</w:t>
            </w:r>
            <w:r w:rsidRPr="00732CA0">
              <w:rPr>
                <w:rFonts w:ascii="Times New Roman" w:hAnsi="Times New Roman" w:cs="Times New Roman"/>
                <w:spacing w:val="-2"/>
                <w:sz w:val="20"/>
                <w:szCs w:val="20"/>
              </w:rPr>
              <w:t>"</w:t>
            </w:r>
            <w:r w:rsidRPr="00732CA0">
              <w:rPr>
                <w:rFonts w:ascii="Times New Roman" w:eastAsia="Times New Roman" w:hAnsi="Times New Roman" w:cs="Times New Roman"/>
                <w:b/>
                <w:bCs/>
                <w:spacing w:val="-2"/>
                <w:sz w:val="20"/>
                <w:szCs w:val="20"/>
              </w:rPr>
              <w:t xml:space="preserve"> </w:t>
            </w:r>
            <w:r w:rsidRPr="00732CA0">
              <w:rPr>
                <w:rFonts w:ascii="Times New Roman" w:eastAsia="Times New Roman" w:hAnsi="Times New Roman" w:cs="Times New Roman"/>
                <w:spacing w:val="-2"/>
                <w:sz w:val="20"/>
                <w:szCs w:val="20"/>
              </w:rPr>
              <w:t>(</w:t>
            </w:r>
            <w:hyperlink r:id="rId10" w:history="1">
              <w:r w:rsidRPr="00732CA0">
                <w:rPr>
                  <w:rStyle w:val="Hyperlink"/>
                  <w:rFonts w:ascii="Times New Roman" w:eastAsia="Times New Roman" w:hAnsi="Times New Roman" w:cs="Times New Roman"/>
                  <w:color w:val="auto"/>
                  <w:spacing w:val="-2"/>
                  <w:sz w:val="20"/>
                  <w:szCs w:val="20"/>
                </w:rPr>
                <w:t>mantojums.lv</w:t>
              </w:r>
            </w:hyperlink>
            <w:r w:rsidRPr="00732CA0">
              <w:rPr>
                <w:rFonts w:ascii="Times New Roman" w:eastAsia="Times New Roman" w:hAnsi="Times New Roman" w:cs="Times New Roman"/>
                <w:spacing w:val="-2"/>
                <w:sz w:val="20"/>
                <w:szCs w:val="20"/>
              </w:rPr>
              <w:t xml:space="preserve">) ir </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centrālais mezgls</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 xml:space="preserve"> pieminekļu un </w:t>
            </w:r>
            <w:r w:rsidRPr="00732CA0">
              <w:rPr>
                <w:rFonts w:ascii="Times New Roman" w:eastAsia="Times New Roman" w:hAnsi="Times New Roman" w:cs="Times New Roman"/>
                <w:b/>
                <w:bCs/>
                <w:spacing w:val="-2"/>
                <w:sz w:val="20"/>
                <w:szCs w:val="20"/>
              </w:rPr>
              <w:t>kultūrvēsturiski</w:t>
            </w:r>
            <w:r w:rsidRPr="00732CA0">
              <w:rPr>
                <w:rFonts w:ascii="Times New Roman" w:eastAsia="Times New Roman" w:hAnsi="Times New Roman" w:cs="Times New Roman"/>
                <w:spacing w:val="-2"/>
                <w:sz w:val="20"/>
                <w:szCs w:val="20"/>
              </w:rPr>
              <w:t xml:space="preserve"> nozīmīgu objektu elektroniskās informācijas uzkrāšanā, apritē un </w:t>
            </w:r>
            <w:r w:rsidRPr="00732CA0">
              <w:rPr>
                <w:rFonts w:ascii="Times New Roman" w:eastAsia="Times New Roman" w:hAnsi="Times New Roman" w:cs="Times New Roman"/>
                <w:sz w:val="20"/>
                <w:szCs w:val="20"/>
              </w:rPr>
              <w:t>pārvaldībā. Lai nodrošinātu veiksmīgu procesa norisi, nepieciešams pilnveidot e-pakalpojumus,</w:t>
            </w:r>
            <w:r w:rsidRPr="00732CA0">
              <w:rPr>
                <w:rFonts w:ascii="Times New Roman" w:eastAsia="Times New Roman" w:hAnsi="Times New Roman" w:cs="Times New Roman"/>
                <w:spacing w:val="-2"/>
                <w:sz w:val="20"/>
                <w:szCs w:val="20"/>
              </w:rPr>
              <w:t xml:space="preserve"> paātrināt un vienkāršot dokumentu aprites procesu un veikt integrāciju ar Būvniecības informācijas sistēmu (BIS). Šie soļi ievērojami palīdzēs veicināt valsts e-pakalpojumu attīstību un samazināt administratīvo slogu. </w:t>
            </w:r>
          </w:p>
          <w:p w14:paraId="3BCFA920" w14:textId="77777777" w:rsidR="00F4356A" w:rsidRPr="00732CA0" w:rsidRDefault="00F4356A" w:rsidP="00DC725F">
            <w:pPr>
              <w:jc w:val="both"/>
              <w:rPr>
                <w:rFonts w:ascii="Times New Roman" w:eastAsia="Times New Roman" w:hAnsi="Times New Roman" w:cs="Times New Roman"/>
                <w:sz w:val="20"/>
                <w:szCs w:val="20"/>
              </w:rPr>
            </w:pPr>
          </w:p>
          <w:p w14:paraId="289817A7" w14:textId="76E0C636" w:rsidR="00F4356A" w:rsidRPr="00732CA0" w:rsidRDefault="00F4356A" w:rsidP="00F4356A">
            <w:pPr>
              <w:pStyle w:val="ListParagraph"/>
              <w:numPr>
                <w:ilvl w:val="0"/>
                <w:numId w:val="23"/>
              </w:numPr>
              <w:ind w:left="320" w:hanging="284"/>
              <w:jc w:val="both"/>
              <w:rPr>
                <w:rFonts w:ascii="Times New Roman" w:eastAsia="Times New Roman" w:hAnsi="Times New Roman" w:cs="Times New Roman"/>
                <w:sz w:val="20"/>
                <w:szCs w:val="20"/>
                <w:lang w:val="lv"/>
              </w:rPr>
            </w:pPr>
            <w:r w:rsidRPr="00732CA0">
              <w:rPr>
                <w:rFonts w:ascii="Times New Roman" w:eastAsia="Times New Roman" w:hAnsi="Times New Roman" w:cs="Times New Roman"/>
                <w:b/>
                <w:bCs/>
                <w:sz w:val="20"/>
                <w:szCs w:val="20"/>
              </w:rPr>
              <w:t>Bibliotēku</w:t>
            </w:r>
            <w:r w:rsidRPr="00732CA0">
              <w:rPr>
                <w:rFonts w:ascii="Times New Roman" w:eastAsia="Times New Roman" w:hAnsi="Times New Roman" w:cs="Times New Roman"/>
                <w:sz w:val="20"/>
                <w:szCs w:val="20"/>
                <w:lang w:val="lv"/>
              </w:rPr>
              <w:t xml:space="preserve"> nozarē šobrīd ir sadrumstalota datu pārvaldība (dažādi kopkatalogi, vairāki lasītāju reģistri). Lai uzlabotu datu pārvaldību, nozare vienojās veidot </w:t>
            </w:r>
            <w:r w:rsidRPr="00732CA0">
              <w:rPr>
                <w:rFonts w:ascii="Times New Roman" w:eastAsia="Times New Roman" w:hAnsi="Times New Roman" w:cs="Times New Roman"/>
                <w:b/>
                <w:bCs/>
                <w:sz w:val="20"/>
                <w:szCs w:val="20"/>
                <w:lang w:val="lv"/>
              </w:rPr>
              <w:t xml:space="preserve">vienotu </w:t>
            </w:r>
            <w:r w:rsidRPr="00732CA0">
              <w:rPr>
                <w:rFonts w:ascii="Times New Roman" w:eastAsia="Times New Roman" w:hAnsi="Times New Roman" w:cs="Times New Roman"/>
                <w:b/>
                <w:bCs/>
                <w:sz w:val="20"/>
                <w:szCs w:val="20"/>
              </w:rPr>
              <w:t>kopkatalogu</w:t>
            </w:r>
            <w:r w:rsidRPr="00732CA0">
              <w:rPr>
                <w:rFonts w:ascii="Times New Roman" w:eastAsia="Times New Roman" w:hAnsi="Times New Roman" w:cs="Times New Roman"/>
                <w:sz w:val="20"/>
                <w:szCs w:val="20"/>
              </w:rPr>
              <w:t xml:space="preserve">, paplašinot tvērumu (sapludinot publisko bibliotēku kopkatalogus, par pamatu izmantojot jau esošā valsts nozīmes bibliotēku </w:t>
            </w:r>
            <w:r w:rsidRPr="00732CA0">
              <w:rPr>
                <w:rFonts w:ascii="Times New Roman" w:eastAsia="Times New Roman" w:hAnsi="Times New Roman" w:cs="Times New Roman"/>
                <w:spacing w:val="-2"/>
                <w:sz w:val="20"/>
                <w:szCs w:val="20"/>
              </w:rPr>
              <w:t>kopkataloga</w:t>
            </w:r>
            <w:r w:rsidRPr="00732CA0">
              <w:rPr>
                <w:rFonts w:ascii="Times New Roman" w:eastAsia="Times New Roman" w:hAnsi="Times New Roman" w:cs="Times New Roman"/>
                <w:sz w:val="20"/>
                <w:szCs w:val="20"/>
              </w:rPr>
              <w:t xml:space="preserve"> datus (</w:t>
            </w:r>
            <w:proofErr w:type="spellStart"/>
            <w:r w:rsidR="00732CA0" w:rsidRPr="00732CA0">
              <w:fldChar w:fldCharType="begin"/>
            </w:r>
            <w:r w:rsidR="00732CA0" w:rsidRPr="00732CA0">
              <w:instrText xml:space="preserve"> HYPERLINK "http://www.kopkatalogs.lv/" </w:instrText>
            </w:r>
            <w:r w:rsidR="00732CA0" w:rsidRPr="00732CA0">
              <w:fldChar w:fldCharType="separate"/>
            </w:r>
            <w:r w:rsidRPr="00732CA0">
              <w:rPr>
                <w:rStyle w:val="Hyperlink"/>
                <w:rFonts w:ascii="Times New Roman" w:eastAsia="Times New Roman" w:hAnsi="Times New Roman" w:cs="Times New Roman"/>
                <w:color w:val="auto"/>
                <w:sz w:val="20"/>
                <w:szCs w:val="20"/>
              </w:rPr>
              <w:t>kopkatalogs.lv</w:t>
            </w:r>
            <w:proofErr w:type="spellEnd"/>
            <w:r w:rsidR="00732CA0" w:rsidRPr="00732CA0">
              <w:rPr>
                <w:rStyle w:val="Hyperlink"/>
                <w:rFonts w:ascii="Times New Roman" w:eastAsia="Times New Roman" w:hAnsi="Times New Roman" w:cs="Times New Roman"/>
                <w:color w:val="auto"/>
                <w:sz w:val="20"/>
                <w:szCs w:val="20"/>
              </w:rPr>
              <w:fldChar w:fldCharType="end"/>
            </w:r>
            <w:r w:rsidRPr="00732CA0">
              <w:rPr>
                <w:rFonts w:ascii="Times New Roman" w:eastAsia="Times New Roman" w:hAnsi="Times New Roman" w:cs="Times New Roman"/>
                <w:sz w:val="20"/>
                <w:szCs w:val="20"/>
              </w:rPr>
              <w:t>), uzlabojot kvalitātes kontroli un nodrošinot vienotu lasītāju reģistru un sistēmu savstarpējo integrāciju ar ATS). Vi</w:t>
            </w:r>
            <w:r w:rsidRPr="00732CA0">
              <w:rPr>
                <w:rFonts w:ascii="Times New Roman" w:hAnsi="Times New Roman" w:cs="Times New Roman"/>
                <w:sz w:val="20"/>
                <w:szCs w:val="20"/>
              </w:rPr>
              <w:t>enots kop</w:t>
            </w:r>
            <w:r w:rsidRPr="00732CA0">
              <w:rPr>
                <w:rFonts w:ascii="Times New Roman" w:eastAsia="Times New Roman" w:hAnsi="Times New Roman" w:cs="Times New Roman"/>
                <w:sz w:val="20"/>
                <w:szCs w:val="20"/>
              </w:rPr>
              <w:t>katalogs veicinās gan vienotas bibliotēku pārvaldības attīstību, gan bibliotēku datu integrāciju kopējā</w:t>
            </w:r>
            <w:r w:rsidRPr="00732CA0">
              <w:rPr>
                <w:rFonts w:ascii="Times New Roman" w:eastAsia="Times New Roman" w:hAnsi="Times New Roman" w:cs="Times New Roman"/>
                <w:sz w:val="20"/>
                <w:szCs w:val="20"/>
                <w:lang w:val="lv"/>
              </w:rPr>
              <w:t xml:space="preserve"> kultūras mantojuma izplatīšanas procesā. </w:t>
            </w:r>
          </w:p>
          <w:p w14:paraId="6DD03223" w14:textId="77777777" w:rsidR="00F4356A" w:rsidRPr="00732CA0" w:rsidRDefault="00F4356A" w:rsidP="00DC725F">
            <w:pPr>
              <w:jc w:val="both"/>
              <w:rPr>
                <w:rFonts w:ascii="Times New Roman" w:eastAsia="Times New Roman" w:hAnsi="Times New Roman" w:cs="Times New Roman"/>
                <w:sz w:val="20"/>
                <w:szCs w:val="20"/>
                <w:lang w:val="lv"/>
              </w:rPr>
            </w:pPr>
          </w:p>
          <w:p w14:paraId="67206C10" w14:textId="77777777" w:rsidR="00F4356A" w:rsidRPr="00732CA0" w:rsidRDefault="00F4356A" w:rsidP="00F4356A">
            <w:pPr>
              <w:pStyle w:val="ListParagraph"/>
              <w:numPr>
                <w:ilvl w:val="0"/>
                <w:numId w:val="23"/>
              </w:numPr>
              <w:ind w:left="320" w:hanging="284"/>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Lai nodrošinātu efektīvu informācijas tehnoloģiju (IT) pārvaldību atbilstoši nozares labākajai praksei, </w:t>
            </w:r>
            <w:r w:rsidRPr="00732CA0">
              <w:rPr>
                <w:rFonts w:ascii="Times New Roman" w:eastAsia="Times New Roman" w:hAnsi="Times New Roman" w:cs="Times New Roman"/>
                <w:b/>
                <w:bCs/>
                <w:sz w:val="20"/>
                <w:szCs w:val="20"/>
              </w:rPr>
              <w:t>KM resorā</w:t>
            </w:r>
            <w:r w:rsidRPr="00732CA0">
              <w:rPr>
                <w:rFonts w:ascii="Times New Roman" w:eastAsia="Times New Roman" w:hAnsi="Times New Roman" w:cs="Times New Roman"/>
                <w:sz w:val="20"/>
                <w:szCs w:val="20"/>
              </w:rPr>
              <w:t xml:space="preserve"> (vairāk nekā 4000 lietotāju ar vairāk nekā 5000 </w:t>
            </w:r>
            <w:r w:rsidRPr="00732CA0">
              <w:rPr>
                <w:rFonts w:ascii="Times New Roman" w:eastAsia="Times New Roman" w:hAnsi="Times New Roman" w:cs="Times New Roman"/>
                <w:spacing w:val="-2"/>
                <w:sz w:val="20"/>
                <w:szCs w:val="20"/>
              </w:rPr>
              <w:t>dažādām</w:t>
            </w:r>
            <w:r w:rsidRPr="00732CA0">
              <w:rPr>
                <w:rFonts w:ascii="Times New Roman" w:eastAsia="Times New Roman" w:hAnsi="Times New Roman" w:cs="Times New Roman"/>
                <w:sz w:val="20"/>
                <w:szCs w:val="20"/>
              </w:rPr>
              <w:t xml:space="preserve"> datortehnikas vienībām 28 iestādēs, kas izvietotas reģionāli visā Latvijā) </w:t>
            </w:r>
            <w:r w:rsidRPr="00732CA0">
              <w:rPr>
                <w:rFonts w:ascii="Times New Roman" w:eastAsia="Times New Roman" w:hAnsi="Times New Roman" w:cs="Times New Roman"/>
                <w:b/>
                <w:bCs/>
                <w:sz w:val="20"/>
                <w:szCs w:val="20"/>
              </w:rPr>
              <w:t>tiek</w:t>
            </w:r>
            <w:r w:rsidRPr="00732CA0">
              <w:rPr>
                <w:rFonts w:ascii="Times New Roman" w:eastAsia="Times New Roman" w:hAnsi="Times New Roman" w:cs="Times New Roman"/>
                <w:sz w:val="20"/>
                <w:szCs w:val="20"/>
              </w:rPr>
              <w:t xml:space="preserve"> </w:t>
            </w:r>
            <w:r w:rsidRPr="00732CA0">
              <w:rPr>
                <w:rFonts w:ascii="Times New Roman" w:eastAsia="Times New Roman" w:hAnsi="Times New Roman" w:cs="Times New Roman"/>
                <w:b/>
                <w:bCs/>
                <w:sz w:val="20"/>
                <w:szCs w:val="20"/>
              </w:rPr>
              <w:t>pilnveidota centralizēta IKT resursu pārvaldība un lietotāju atbalsts, tai skaitā pilnveidoti centralizētie pakalpojumi</w:t>
            </w:r>
            <w:r w:rsidRPr="00732CA0">
              <w:rPr>
                <w:rFonts w:ascii="Times New Roman" w:eastAsia="Times New Roman" w:hAnsi="Times New Roman" w:cs="Times New Roman"/>
                <w:sz w:val="20"/>
                <w:szCs w:val="20"/>
              </w:rPr>
              <w:t xml:space="preserve">, nosakot KISC kā IKT pārvaldnieku. </w:t>
            </w:r>
          </w:p>
          <w:p w14:paraId="61DE8BAF" w14:textId="77777777" w:rsidR="00F4356A" w:rsidRPr="00732CA0" w:rsidRDefault="00F4356A" w:rsidP="00DC725F">
            <w:pPr>
              <w:ind w:left="320"/>
              <w:jc w:val="both"/>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 xml:space="preserve">Projekta laikā tiks pilnveidoti centralizēti pakalpojumu sniegšanas procesi, sekmēta IKT pārvaldības pilnveidošana. Tiks uzlabota infrastruktūra, veidota resora vienotā atbalsta sistēma un palīdzības dienests, tai skaitā veidoti resorā vienoti tīmeklī bāzētu informācijas risinājumu izveides un pārvaldības principi. Šobrīd IKT pakalpojumi KM resora iestādēm tiek sniegti daļēji centralizēti, un tas ietekmē galalietotāju ikdienas darbu. Iestāžu IKT pakalpojumu nodrošināšanā iesaistīto darbinieku skaits neatbilst IKT resursu apjomam, tādējādi pēc iespējas jāizmanto moderni tehnoloģiskie risinājumi efektivitātes paaugstināšanai, tai skaitā esošo darbinieku kompetences paaugstināšanai. </w:t>
            </w:r>
          </w:p>
          <w:p w14:paraId="31A1ABAA" w14:textId="1854BF38" w:rsidR="00F4356A" w:rsidRPr="00732CA0" w:rsidRDefault="00F4356A" w:rsidP="00DC725F">
            <w:pPr>
              <w:ind w:left="320"/>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Plānots izstrādāt centralizēti sniedzamo pakalpojumu aprakstus un sagatavot darbiniekus šo pakalpojumu nodrošināšanas uzsākšanai. Projekta laikā plānota IKT pakalpojumu centralizācija un pilnveidošana, aptverot pakalpojumus, kuri tieši skar resora IKT lietotājus un to darba vietas, un IKT pakalpojumus, kuru sniegšanai var izmantot koplietošanas tehnoloģiskās platformas un IS. Tiks izveidota un izstrādāta arī centralizēti sniedzamo pakalpojumu arhitektūra, pakalpojumu sniegšanas noteikumi, pakalpojuma līmeņa vienošanās</w:t>
            </w:r>
            <w:r w:rsidRPr="00732CA0" w:rsidDel="00BA05A6">
              <w:rPr>
                <w:rFonts w:ascii="Times New Roman" w:hAnsi="Times New Roman" w:cs="Times New Roman"/>
                <w:sz w:val="18"/>
                <w:szCs w:val="18"/>
              </w:rPr>
              <w:t xml:space="preserve"> </w:t>
            </w:r>
            <w:r w:rsidRPr="00732CA0">
              <w:rPr>
                <w:rFonts w:ascii="Times New Roman" w:eastAsia="Times New Roman" w:hAnsi="Times New Roman" w:cs="Times New Roman"/>
                <w:sz w:val="20"/>
                <w:szCs w:val="20"/>
                <w:lang w:eastAsia="lv-LV"/>
              </w:rPr>
              <w:t>(SLA)</w:t>
            </w:r>
            <w:r w:rsidRPr="00732CA0">
              <w:rPr>
                <w:rFonts w:ascii="Times New Roman" w:eastAsia="Times New Roman" w:hAnsi="Times New Roman" w:cs="Times New Roman"/>
                <w:sz w:val="20"/>
                <w:szCs w:val="20"/>
              </w:rPr>
              <w:t xml:space="preserve"> </w:t>
            </w:r>
            <w:r w:rsidRPr="00732CA0">
              <w:rPr>
                <w:rFonts w:ascii="Times New Roman" w:eastAsia="Times New Roman" w:hAnsi="Times New Roman" w:cs="Times New Roman"/>
                <w:sz w:val="20"/>
                <w:szCs w:val="20"/>
              </w:rPr>
              <w:lastRenderedPageBreak/>
              <w:t>kritēriji, pārvaldības procesi un procedūras, tehnisko un citu pakalpojumu sniegšanai nepieciešamā dokumentācija. Pievienojot ģeneratīvā mākslīgā intelekta funkcionalitāti, tiks uzlabotas virtuālo asistentu spējas un lietotāju pieredze. Ģeneratīvā mākslīgā intelekta pievienošana paplašinātu virtuālo asistentu zināšanu bāzi, paātrinātu jaunu scenāriju izveidi un samazinātu laika patēriņu, ļaujot asistentiem sniegt atbildes uz plašāku tēmu un jautājumu klāstu, tai skaitā resora IKT vienotā atbalsta risinājumam. Tiks nodrošināta LLM</w:t>
            </w:r>
            <w:r w:rsidR="004D4BDC" w:rsidRPr="00732CA0">
              <w:rPr>
                <w:rFonts w:ascii="Times New Roman" w:eastAsia="Times New Roman" w:hAnsi="Times New Roman" w:cs="Times New Roman"/>
                <w:sz w:val="20"/>
                <w:szCs w:val="20"/>
              </w:rPr>
              <w:t xml:space="preserve"> </w:t>
            </w:r>
            <w:r w:rsidR="004D4BDC" w:rsidRPr="00732CA0">
              <w:rPr>
                <w:rFonts w:ascii="Times New Roman" w:eastAsia="Times New Roman" w:hAnsi="Times New Roman" w:cs="Times New Roman"/>
                <w:i/>
                <w:iCs/>
                <w:sz w:val="20"/>
                <w:szCs w:val="20"/>
              </w:rPr>
              <w:t>(</w:t>
            </w:r>
            <w:proofErr w:type="spellStart"/>
            <w:r w:rsidR="004D4BDC" w:rsidRPr="00732CA0">
              <w:rPr>
                <w:rFonts w:ascii="Times New Roman" w:eastAsia="Times New Roman" w:hAnsi="Times New Roman" w:cs="Times New Roman"/>
                <w:i/>
                <w:iCs/>
                <w:sz w:val="20"/>
                <w:szCs w:val="20"/>
              </w:rPr>
              <w:t>large</w:t>
            </w:r>
            <w:proofErr w:type="spellEnd"/>
            <w:r w:rsidR="004D4BDC" w:rsidRPr="00732CA0">
              <w:rPr>
                <w:rFonts w:ascii="Times New Roman" w:eastAsia="Times New Roman" w:hAnsi="Times New Roman" w:cs="Times New Roman"/>
                <w:i/>
                <w:iCs/>
                <w:sz w:val="20"/>
                <w:szCs w:val="20"/>
              </w:rPr>
              <w:t xml:space="preserve"> </w:t>
            </w:r>
            <w:proofErr w:type="spellStart"/>
            <w:r w:rsidR="004D4BDC" w:rsidRPr="00732CA0">
              <w:rPr>
                <w:rFonts w:ascii="Times New Roman" w:eastAsia="Times New Roman" w:hAnsi="Times New Roman" w:cs="Times New Roman"/>
                <w:i/>
                <w:iCs/>
                <w:sz w:val="20"/>
                <w:szCs w:val="20"/>
              </w:rPr>
              <w:t>language</w:t>
            </w:r>
            <w:proofErr w:type="spellEnd"/>
            <w:r w:rsidR="004D4BDC" w:rsidRPr="00732CA0">
              <w:rPr>
                <w:rFonts w:ascii="Times New Roman" w:eastAsia="Times New Roman" w:hAnsi="Times New Roman" w:cs="Times New Roman"/>
                <w:i/>
                <w:iCs/>
                <w:sz w:val="20"/>
                <w:szCs w:val="20"/>
              </w:rPr>
              <w:t xml:space="preserve"> </w:t>
            </w:r>
            <w:proofErr w:type="spellStart"/>
            <w:r w:rsidR="004D4BDC" w:rsidRPr="00732CA0">
              <w:rPr>
                <w:rFonts w:ascii="Times New Roman" w:eastAsia="Times New Roman" w:hAnsi="Times New Roman" w:cs="Times New Roman"/>
                <w:i/>
                <w:iCs/>
                <w:sz w:val="20"/>
                <w:szCs w:val="20"/>
              </w:rPr>
              <w:t>models</w:t>
            </w:r>
            <w:proofErr w:type="spellEnd"/>
            <w:r w:rsidR="004D4BDC" w:rsidRPr="00732CA0">
              <w:rPr>
                <w:rFonts w:ascii="Times New Roman" w:eastAsia="Times New Roman" w:hAnsi="Times New Roman" w:cs="Times New Roman"/>
                <w:i/>
                <w:iCs/>
                <w:sz w:val="20"/>
                <w:szCs w:val="20"/>
              </w:rPr>
              <w:t>)</w:t>
            </w:r>
            <w:r w:rsidR="004D4BDC" w:rsidRPr="00732CA0">
              <w:rPr>
                <w:rFonts w:ascii="Times New Roman" w:eastAsia="Times New Roman" w:hAnsi="Times New Roman" w:cs="Times New Roman"/>
                <w:sz w:val="20"/>
                <w:szCs w:val="20"/>
              </w:rPr>
              <w:t xml:space="preserve"> </w:t>
            </w:r>
            <w:r w:rsidRPr="00732CA0">
              <w:rPr>
                <w:rFonts w:ascii="Times New Roman" w:eastAsia="Times New Roman" w:hAnsi="Times New Roman" w:cs="Times New Roman"/>
                <w:sz w:val="20"/>
                <w:szCs w:val="20"/>
              </w:rPr>
              <w:t>modeļu mākoņpakalpojumu izmantošana projekta ietvaros izstrādātajos ģeneratīvā mākslīgā intelekta risinājumos.</w:t>
            </w:r>
          </w:p>
        </w:tc>
      </w:tr>
      <w:tr w:rsidR="00884D6B" w:rsidRPr="00732CA0" w14:paraId="5AF368A6" w14:textId="77777777" w:rsidTr="00DC725F">
        <w:tc>
          <w:tcPr>
            <w:tcW w:w="2410" w:type="dxa"/>
          </w:tcPr>
          <w:p w14:paraId="10902942"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3.3. Projekta ieguvumi</w:t>
            </w:r>
            <w:r w:rsidRPr="00732CA0">
              <w:rPr>
                <w:rStyle w:val="FootnoteReference"/>
                <w:rFonts w:ascii="Times New Roman" w:eastAsia="Times New Roman" w:hAnsi="Times New Roman" w:cs="Times New Roman"/>
                <w:sz w:val="20"/>
                <w:szCs w:val="20"/>
              </w:rPr>
              <w:footnoteReference w:id="1"/>
            </w:r>
          </w:p>
        </w:tc>
        <w:tc>
          <w:tcPr>
            <w:tcW w:w="4820" w:type="dxa"/>
          </w:tcPr>
          <w:p w14:paraId="058B7C02"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Ieguvuma mērīšanas vai verificēšanas metode un mērāmais rādītājs</w:t>
            </w:r>
            <w:r w:rsidRPr="00732CA0">
              <w:rPr>
                <w:rStyle w:val="FootnoteReference"/>
                <w:rFonts w:ascii="Times New Roman" w:eastAsia="Times New Roman" w:hAnsi="Times New Roman" w:cs="Times New Roman"/>
                <w:sz w:val="20"/>
                <w:szCs w:val="20"/>
              </w:rPr>
              <w:footnoteReference w:id="2"/>
            </w:r>
          </w:p>
        </w:tc>
        <w:tc>
          <w:tcPr>
            <w:tcW w:w="850" w:type="dxa"/>
          </w:tcPr>
          <w:p w14:paraId="53210096" w14:textId="77777777" w:rsidR="00F4356A" w:rsidRPr="00732CA0" w:rsidRDefault="00F4356A" w:rsidP="00DC725F">
            <w:pPr>
              <w:spacing w:line="259" w:lineRule="auto"/>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Vērtība</w:t>
            </w:r>
          </w:p>
        </w:tc>
        <w:tc>
          <w:tcPr>
            <w:tcW w:w="1276" w:type="dxa"/>
          </w:tcPr>
          <w:p w14:paraId="34206C9C"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Sasniegšanas laiks (gads)</w:t>
            </w:r>
          </w:p>
        </w:tc>
      </w:tr>
      <w:tr w:rsidR="00884D6B" w:rsidRPr="00732CA0" w14:paraId="59EC8697" w14:textId="77777777" w:rsidTr="00DC725F">
        <w:tc>
          <w:tcPr>
            <w:tcW w:w="2410" w:type="dxa"/>
          </w:tcPr>
          <w:p w14:paraId="47028930"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lang w:val="lv"/>
              </w:rPr>
              <w:t>3.3.1. Nodrošināta centralizētas IKT pārvaldības uzlabošana, vienotas resora IKT atbalsta sistēmas un palīdzības dienesta izveide, IKT pakalpojumi</w:t>
            </w:r>
          </w:p>
        </w:tc>
        <w:tc>
          <w:tcPr>
            <w:tcW w:w="4820" w:type="dxa"/>
          </w:tcPr>
          <w:p w14:paraId="4755CAF5"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KISC kā vienotajam IKT pārvaldniekam izstrādāta un ieviesta </w:t>
            </w:r>
            <w:r w:rsidRPr="00732CA0">
              <w:rPr>
                <w:rFonts w:ascii="Times New Roman" w:eastAsia="Times New Roman" w:hAnsi="Times New Roman" w:cs="Times New Roman"/>
                <w:sz w:val="20"/>
                <w:szCs w:val="20"/>
                <w:lang w:val="lv"/>
              </w:rPr>
              <w:t xml:space="preserve">centralizēti sniedzamo pakalpojumu arhitektūra, pakalpojumu sniegšanas noteikumi, pakalpojumu apraksti, SLA kritēriji, pārvaldības procesi un procedūras, tehnoloģiskie risinājumi (nodrošināti vienoti pakalpojumi iestādēm resorā, noslēgto vienošanos skaits, šobrīd </w:t>
            </w:r>
            <w:r w:rsidRPr="00732CA0">
              <w:rPr>
                <w:rFonts w:ascii="Times New Roman" w:eastAsia="Times New Roman" w:hAnsi="Times New Roman" w:cs="Times New Roman"/>
                <w:spacing w:val="-2"/>
                <w:sz w:val="20"/>
                <w:szCs w:val="20"/>
              </w:rPr>
              <w:t xml:space="preserve">– </w:t>
            </w:r>
            <w:r w:rsidRPr="00732CA0">
              <w:rPr>
                <w:rFonts w:ascii="Times New Roman" w:eastAsia="Times New Roman" w:hAnsi="Times New Roman" w:cs="Times New Roman"/>
                <w:sz w:val="20"/>
                <w:szCs w:val="20"/>
                <w:lang w:val="lv"/>
              </w:rPr>
              <w:t>0)</w:t>
            </w:r>
          </w:p>
        </w:tc>
        <w:tc>
          <w:tcPr>
            <w:tcW w:w="850" w:type="dxa"/>
          </w:tcPr>
          <w:p w14:paraId="4157EEA6"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w:t>
            </w:r>
          </w:p>
        </w:tc>
        <w:tc>
          <w:tcPr>
            <w:tcW w:w="1276" w:type="dxa"/>
          </w:tcPr>
          <w:p w14:paraId="656B2162"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2025.</w:t>
            </w:r>
          </w:p>
        </w:tc>
      </w:tr>
      <w:tr w:rsidR="00884D6B" w:rsidRPr="00732CA0" w14:paraId="72AFAD2C" w14:textId="77777777" w:rsidTr="00DC725F">
        <w:tc>
          <w:tcPr>
            <w:tcW w:w="2410" w:type="dxa"/>
          </w:tcPr>
          <w:p w14:paraId="61F42E76"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lang w:val="lv"/>
              </w:rPr>
              <w:t>3.3.2. Nodrošināta jaunu LNA elektronisko pakalpojumu izveide un esošo elektronisko pakalpojumu pilnveide</w:t>
            </w:r>
          </w:p>
        </w:tc>
        <w:tc>
          <w:tcPr>
            <w:tcW w:w="4820" w:type="dxa"/>
          </w:tcPr>
          <w:p w14:paraId="6FA75C60" w14:textId="77777777" w:rsidR="00F4356A" w:rsidRPr="00732CA0" w:rsidRDefault="00F4356A" w:rsidP="00DC725F">
            <w:pPr>
              <w:rPr>
                <w:rFonts w:ascii="Times New Roman" w:eastAsia="Times New Roman" w:hAnsi="Times New Roman" w:cs="Times New Roman"/>
                <w:sz w:val="20"/>
                <w:szCs w:val="20"/>
                <w:lang w:val="lv"/>
              </w:rPr>
            </w:pPr>
            <w:r w:rsidRPr="00732CA0">
              <w:rPr>
                <w:rFonts w:ascii="Times New Roman" w:eastAsia="Times New Roman" w:hAnsi="Times New Roman" w:cs="Times New Roman"/>
                <w:sz w:val="20"/>
                <w:szCs w:val="20"/>
                <w:lang w:val="lv"/>
              </w:rPr>
              <w:t xml:space="preserve">LNA e-pakalpojumu portālā pieprasīto pakalpojumu skaits viena gada laikā (VVAIS uzskaites rādītājs, 2021. gadā </w:t>
            </w:r>
            <w:r w:rsidRPr="00732CA0">
              <w:rPr>
                <w:rFonts w:ascii="Times New Roman" w:eastAsia="Times New Roman" w:hAnsi="Times New Roman" w:cs="Times New Roman"/>
                <w:spacing w:val="-2"/>
                <w:sz w:val="20"/>
                <w:szCs w:val="20"/>
              </w:rPr>
              <w:t xml:space="preserve">– </w:t>
            </w:r>
            <w:r w:rsidRPr="00732CA0">
              <w:rPr>
                <w:rFonts w:ascii="Times New Roman" w:eastAsia="Times New Roman" w:hAnsi="Times New Roman" w:cs="Times New Roman"/>
                <w:sz w:val="20"/>
                <w:szCs w:val="20"/>
                <w:lang w:val="lv"/>
              </w:rPr>
              <w:t>4760 pakalpojumu pieprasījumi)</w:t>
            </w:r>
          </w:p>
        </w:tc>
        <w:tc>
          <w:tcPr>
            <w:tcW w:w="850" w:type="dxa"/>
          </w:tcPr>
          <w:p w14:paraId="028FC437"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10 000</w:t>
            </w:r>
          </w:p>
        </w:tc>
        <w:tc>
          <w:tcPr>
            <w:tcW w:w="1276" w:type="dxa"/>
          </w:tcPr>
          <w:p w14:paraId="606736D7"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2026.</w:t>
            </w:r>
          </w:p>
        </w:tc>
      </w:tr>
      <w:tr w:rsidR="00884D6B" w:rsidRPr="00732CA0" w14:paraId="13CE2ADD" w14:textId="77777777" w:rsidTr="00DC725F">
        <w:tc>
          <w:tcPr>
            <w:tcW w:w="2410" w:type="dxa"/>
          </w:tcPr>
          <w:p w14:paraId="5893645F"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lang w:val="lv"/>
              </w:rPr>
              <w:t>3.3.3. Nodrošināta NMKK publiskā digitālā risinājuma pieejamība</w:t>
            </w:r>
          </w:p>
        </w:tc>
        <w:tc>
          <w:tcPr>
            <w:tcW w:w="4820" w:type="dxa"/>
          </w:tcPr>
          <w:p w14:paraId="297E863A"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lang w:val="lv"/>
              </w:rPr>
              <w:t xml:space="preserve">Publiskā portāla apmeklētāju skaits viena gada laikā (tiks izmantots </w:t>
            </w:r>
            <w:r w:rsidRPr="00732CA0">
              <w:rPr>
                <w:rFonts w:ascii="Times New Roman" w:eastAsia="Times New Roman" w:hAnsi="Times New Roman" w:cs="Times New Roman"/>
                <w:i/>
                <w:iCs/>
                <w:sz w:val="20"/>
                <w:szCs w:val="20"/>
                <w:lang w:val="lv"/>
              </w:rPr>
              <w:t xml:space="preserve">Google </w:t>
            </w:r>
            <w:proofErr w:type="spellStart"/>
            <w:r w:rsidRPr="00732CA0">
              <w:rPr>
                <w:rFonts w:ascii="Times New Roman" w:eastAsia="Times New Roman" w:hAnsi="Times New Roman" w:cs="Times New Roman"/>
                <w:i/>
                <w:iCs/>
                <w:sz w:val="20"/>
                <w:szCs w:val="20"/>
                <w:lang w:val="lv"/>
              </w:rPr>
              <w:t>Analytics</w:t>
            </w:r>
            <w:proofErr w:type="spellEnd"/>
            <w:r w:rsidRPr="00732CA0">
              <w:rPr>
                <w:rFonts w:ascii="Times New Roman" w:eastAsia="Times New Roman" w:hAnsi="Times New Roman" w:cs="Times New Roman"/>
                <w:sz w:val="20"/>
                <w:szCs w:val="20"/>
                <w:lang w:val="lv"/>
              </w:rPr>
              <w:t xml:space="preserve"> vai līdzvērtīgs tīmekļa apmeklētāju uzskaites rīks, pašlaik apmeklētāju skaits gadā</w:t>
            </w:r>
            <w:r w:rsidRPr="00732CA0">
              <w:rPr>
                <w:rFonts w:ascii="Times New Roman" w:eastAsia="Times New Roman" w:hAnsi="Times New Roman" w:cs="Times New Roman"/>
                <w:spacing w:val="-2"/>
                <w:sz w:val="20"/>
                <w:szCs w:val="20"/>
              </w:rPr>
              <w:t xml:space="preserve"> – </w:t>
            </w:r>
            <w:r w:rsidRPr="00732CA0">
              <w:rPr>
                <w:rFonts w:ascii="Times New Roman" w:eastAsia="Times New Roman" w:hAnsi="Times New Roman" w:cs="Times New Roman"/>
                <w:sz w:val="20"/>
                <w:szCs w:val="20"/>
                <w:lang w:val="lv"/>
              </w:rPr>
              <w:t>vidēji 50 000)</w:t>
            </w:r>
          </w:p>
        </w:tc>
        <w:tc>
          <w:tcPr>
            <w:tcW w:w="850" w:type="dxa"/>
          </w:tcPr>
          <w:p w14:paraId="75F02041"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75 000</w:t>
            </w:r>
          </w:p>
        </w:tc>
        <w:tc>
          <w:tcPr>
            <w:tcW w:w="1276" w:type="dxa"/>
          </w:tcPr>
          <w:p w14:paraId="18125EDE" w14:textId="11E511CB"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2026</w:t>
            </w:r>
            <w:r w:rsidR="006E36D8" w:rsidRPr="00732CA0">
              <w:rPr>
                <w:rFonts w:ascii="Times New Roman" w:eastAsia="Times New Roman" w:hAnsi="Times New Roman" w:cs="Times New Roman"/>
                <w:sz w:val="20"/>
                <w:szCs w:val="20"/>
              </w:rPr>
              <w:t>.</w:t>
            </w:r>
          </w:p>
        </w:tc>
      </w:tr>
      <w:tr w:rsidR="00884D6B" w:rsidRPr="00732CA0" w14:paraId="3EF5C6BA" w14:textId="77777777" w:rsidTr="00DC725F">
        <w:tc>
          <w:tcPr>
            <w:tcW w:w="2410" w:type="dxa"/>
          </w:tcPr>
          <w:p w14:paraId="674F2D4F"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lang w:val="lv"/>
              </w:rPr>
              <w:t>3.3.4. Izveidots vienots bibliotēku kopkatalogs</w:t>
            </w:r>
          </w:p>
        </w:tc>
        <w:tc>
          <w:tcPr>
            <w:tcW w:w="4820" w:type="dxa"/>
          </w:tcPr>
          <w:p w14:paraId="638A2569"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Bibliotēku kopkatalogam pieslēgto bibliotēku skaits (sistēmas konfigurācijas rādītājs, šobrīd </w:t>
            </w:r>
            <w:r w:rsidRPr="00732CA0">
              <w:rPr>
                <w:rFonts w:ascii="Times New Roman" w:eastAsia="Times New Roman" w:hAnsi="Times New Roman" w:cs="Times New Roman"/>
                <w:spacing w:val="-2"/>
                <w:sz w:val="20"/>
                <w:szCs w:val="20"/>
              </w:rPr>
              <w:t xml:space="preserve">– </w:t>
            </w:r>
            <w:r w:rsidRPr="00732CA0">
              <w:rPr>
                <w:rFonts w:ascii="Times New Roman" w:eastAsia="Times New Roman" w:hAnsi="Times New Roman" w:cs="Times New Roman"/>
                <w:sz w:val="20"/>
                <w:szCs w:val="20"/>
              </w:rPr>
              <w:t>0)</w:t>
            </w:r>
          </w:p>
        </w:tc>
        <w:tc>
          <w:tcPr>
            <w:tcW w:w="850" w:type="dxa"/>
          </w:tcPr>
          <w:p w14:paraId="45CA14B2"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50</w:t>
            </w:r>
          </w:p>
        </w:tc>
        <w:tc>
          <w:tcPr>
            <w:tcW w:w="1276" w:type="dxa"/>
          </w:tcPr>
          <w:p w14:paraId="7488CB8D"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2026.</w:t>
            </w:r>
          </w:p>
        </w:tc>
      </w:tr>
    </w:tbl>
    <w:p w14:paraId="75D593A0" w14:textId="77777777" w:rsidR="00F4356A" w:rsidRPr="00732CA0" w:rsidRDefault="00F4356A" w:rsidP="00F4356A">
      <w:pPr>
        <w:spacing w:after="0" w:line="240" w:lineRule="auto"/>
        <w:jc w:val="both"/>
        <w:rPr>
          <w:rFonts w:ascii="Times New Roman" w:eastAsia="Times New Roman" w:hAnsi="Times New Roman" w:cs="Times New Roman"/>
          <w:bCs/>
          <w:sz w:val="24"/>
          <w:szCs w:val="24"/>
        </w:rPr>
      </w:pPr>
    </w:p>
    <w:p w14:paraId="1D8D5AF6" w14:textId="77777777" w:rsidR="00F4356A" w:rsidRPr="00732CA0" w:rsidRDefault="00F4356A" w:rsidP="00F4356A">
      <w:pPr>
        <w:spacing w:after="60" w:line="240" w:lineRule="auto"/>
        <w:ind w:left="255" w:hanging="255"/>
        <w:jc w:val="both"/>
        <w:rPr>
          <w:rFonts w:ascii="Times New Roman" w:eastAsia="Times New Roman" w:hAnsi="Times New Roman" w:cs="Times New Roman"/>
          <w:b/>
          <w:sz w:val="24"/>
          <w:szCs w:val="24"/>
        </w:rPr>
      </w:pPr>
      <w:r w:rsidRPr="00732CA0">
        <w:rPr>
          <w:rFonts w:ascii="Times New Roman" w:eastAsia="Times New Roman" w:hAnsi="Times New Roman" w:cs="Times New Roman"/>
          <w:b/>
          <w:sz w:val="24"/>
          <w:szCs w:val="24"/>
        </w:rPr>
        <w:t>4. Nepieciešamā finansējuma apjoms un tā sadalījums pa projekta darbībām iznākumu sasniegšanai un būtisko izmaksu veidiem</w:t>
      </w:r>
    </w:p>
    <w:tbl>
      <w:tblPr>
        <w:tblStyle w:val="TableGrid"/>
        <w:tblW w:w="9356" w:type="dxa"/>
        <w:tblInd w:w="-147" w:type="dxa"/>
        <w:tblLook w:val="04A0" w:firstRow="1" w:lastRow="0" w:firstColumn="1" w:lastColumn="0" w:noHBand="0" w:noVBand="1"/>
      </w:tblPr>
      <w:tblGrid>
        <w:gridCol w:w="3403"/>
        <w:gridCol w:w="2835"/>
        <w:gridCol w:w="3118"/>
      </w:tblGrid>
      <w:tr w:rsidR="00884D6B" w:rsidRPr="00732CA0" w14:paraId="4A6BF4C9" w14:textId="77777777" w:rsidTr="00DC725F">
        <w:trPr>
          <w:trHeight w:val="329"/>
        </w:trPr>
        <w:tc>
          <w:tcPr>
            <w:tcW w:w="3403" w:type="dxa"/>
          </w:tcPr>
          <w:p w14:paraId="52E75054"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4.1. Atveseļošanas fonda plāna finansējums (kopā)</w:t>
            </w:r>
          </w:p>
        </w:tc>
        <w:tc>
          <w:tcPr>
            <w:tcW w:w="5953" w:type="dxa"/>
            <w:gridSpan w:val="2"/>
          </w:tcPr>
          <w:p w14:paraId="0F0192DE" w14:textId="77777777" w:rsidR="00F4356A" w:rsidRPr="00732CA0" w:rsidRDefault="00F4356A" w:rsidP="00DC725F">
            <w:pPr>
              <w:jc w:val="both"/>
              <w:rPr>
                <w:rFonts w:ascii="Times New Roman" w:eastAsia="Times New Roman" w:hAnsi="Times New Roman" w:cs="Times New Roman"/>
                <w:b/>
                <w:sz w:val="20"/>
                <w:szCs w:val="20"/>
              </w:rPr>
            </w:pPr>
            <w:r w:rsidRPr="00732CA0">
              <w:rPr>
                <w:rFonts w:ascii="Times New Roman" w:eastAsia="Times New Roman" w:hAnsi="Times New Roman" w:cs="Times New Roman"/>
                <w:sz w:val="20"/>
                <w:szCs w:val="20"/>
              </w:rPr>
              <w:t>4.2. Plānotais pievienotās vērtības nodokļa (PVN) apmērs (kopā), ja tiks pieprasīta tā segšana</w:t>
            </w:r>
            <w:r w:rsidRPr="00732CA0">
              <w:rPr>
                <w:rStyle w:val="FootnoteReference"/>
                <w:rFonts w:ascii="Times New Roman" w:eastAsia="Times New Roman" w:hAnsi="Times New Roman" w:cs="Times New Roman"/>
                <w:sz w:val="20"/>
                <w:szCs w:val="20"/>
              </w:rPr>
              <w:footnoteReference w:id="3"/>
            </w:r>
            <w:r w:rsidRPr="00732CA0">
              <w:rPr>
                <w:rFonts w:ascii="Times New Roman" w:eastAsia="Times New Roman" w:hAnsi="Times New Roman" w:cs="Times New Roman"/>
                <w:sz w:val="20"/>
                <w:szCs w:val="20"/>
              </w:rPr>
              <w:t>, un avansa apmērs, ja plānots to pieprasīt</w:t>
            </w:r>
            <w:r w:rsidRPr="00732CA0">
              <w:rPr>
                <w:rStyle w:val="FootnoteReference"/>
                <w:rFonts w:ascii="Times New Roman" w:eastAsia="Times New Roman" w:hAnsi="Times New Roman" w:cs="Times New Roman"/>
                <w:sz w:val="20"/>
                <w:szCs w:val="20"/>
              </w:rPr>
              <w:footnoteReference w:id="4"/>
            </w:r>
            <w:r w:rsidRPr="00732CA0">
              <w:rPr>
                <w:rFonts w:ascii="Times New Roman" w:eastAsia="Times New Roman" w:hAnsi="Times New Roman" w:cs="Times New Roman"/>
                <w:sz w:val="20"/>
                <w:szCs w:val="20"/>
              </w:rPr>
              <w:t xml:space="preserve"> </w:t>
            </w:r>
          </w:p>
        </w:tc>
      </w:tr>
      <w:tr w:rsidR="00884D6B" w:rsidRPr="00732CA0" w14:paraId="0F872B25" w14:textId="77777777" w:rsidTr="00DC725F">
        <w:tc>
          <w:tcPr>
            <w:tcW w:w="3403" w:type="dxa"/>
          </w:tcPr>
          <w:p w14:paraId="2A9AAE52" w14:textId="77777777" w:rsidR="00F4356A" w:rsidRPr="00732CA0" w:rsidRDefault="00F4356A" w:rsidP="00DC725F">
            <w:pPr>
              <w:pStyle w:val="ListParagraph"/>
              <w:ind w:left="360"/>
              <w:rPr>
                <w:rFonts w:ascii="Times New Roman" w:eastAsia="Times New Roman" w:hAnsi="Times New Roman" w:cs="Times New Roman"/>
                <w:b/>
                <w:bCs/>
                <w:sz w:val="20"/>
                <w:szCs w:val="20"/>
              </w:rPr>
            </w:pPr>
            <w:r w:rsidRPr="00732CA0">
              <w:rPr>
                <w:rFonts w:ascii="Times New Roman" w:eastAsia="Times New Roman" w:hAnsi="Times New Roman" w:cs="Times New Roman"/>
                <w:sz w:val="20"/>
                <w:szCs w:val="20"/>
              </w:rPr>
              <w:t xml:space="preserve">2 315 000 </w:t>
            </w:r>
            <w:r w:rsidRPr="00732CA0">
              <w:rPr>
                <w:rFonts w:ascii="Times New Roman" w:eastAsia="Times New Roman" w:hAnsi="Times New Roman" w:cs="Times New Roman"/>
                <w:i/>
                <w:iCs/>
                <w:sz w:val="20"/>
                <w:szCs w:val="20"/>
              </w:rPr>
              <w:t>euro</w:t>
            </w:r>
          </w:p>
        </w:tc>
        <w:tc>
          <w:tcPr>
            <w:tcW w:w="2835" w:type="dxa"/>
          </w:tcPr>
          <w:p w14:paraId="0B1E3777" w14:textId="77777777" w:rsidR="00F4356A" w:rsidRPr="00732CA0" w:rsidRDefault="00F4356A" w:rsidP="00DC725F">
            <w:pPr>
              <w:jc w:val="center"/>
              <w:rPr>
                <w:rFonts w:ascii="Times New Roman" w:eastAsia="Times New Roman" w:hAnsi="Times New Roman" w:cs="Times New Roman"/>
                <w:sz w:val="20"/>
                <w:szCs w:val="20"/>
                <w:highlight w:val="yellow"/>
              </w:rPr>
            </w:pPr>
            <w:r w:rsidRPr="00732CA0">
              <w:rPr>
                <w:rFonts w:ascii="Times New Roman" w:eastAsia="Times New Roman" w:hAnsi="Times New Roman" w:cs="Times New Roman"/>
                <w:sz w:val="20"/>
                <w:szCs w:val="20"/>
              </w:rPr>
              <w:t xml:space="preserve">440 412 </w:t>
            </w:r>
            <w:r w:rsidRPr="00732CA0">
              <w:rPr>
                <w:rFonts w:ascii="Times New Roman" w:eastAsia="Times New Roman" w:hAnsi="Times New Roman" w:cs="Times New Roman"/>
                <w:i/>
                <w:iCs/>
                <w:sz w:val="20"/>
                <w:szCs w:val="20"/>
              </w:rPr>
              <w:t>euro</w:t>
            </w:r>
          </w:p>
        </w:tc>
        <w:tc>
          <w:tcPr>
            <w:tcW w:w="3118" w:type="dxa"/>
          </w:tcPr>
          <w:p w14:paraId="21428223" w14:textId="77777777" w:rsidR="00F4356A" w:rsidRPr="00732CA0" w:rsidRDefault="00F4356A" w:rsidP="00DC725F">
            <w:pPr>
              <w:jc w:val="center"/>
              <w:rPr>
                <w:rFonts w:ascii="Times New Roman" w:eastAsia="Times New Roman" w:hAnsi="Times New Roman" w:cs="Times New Roman"/>
                <w:iCs/>
                <w:sz w:val="20"/>
                <w:szCs w:val="20"/>
              </w:rPr>
            </w:pPr>
            <w:r w:rsidRPr="00732CA0">
              <w:rPr>
                <w:rFonts w:ascii="Times New Roman" w:eastAsia="Times New Roman" w:hAnsi="Times New Roman" w:cs="Times New Roman"/>
                <w:iCs/>
                <w:sz w:val="20"/>
                <w:szCs w:val="20"/>
              </w:rPr>
              <w:t>Avanss netiks pieprasīts</w:t>
            </w:r>
          </w:p>
        </w:tc>
      </w:tr>
    </w:tbl>
    <w:p w14:paraId="4F8EE748" w14:textId="77777777" w:rsidR="00F4356A" w:rsidRPr="00732CA0" w:rsidRDefault="00F4356A" w:rsidP="00F4356A">
      <w:pPr>
        <w:spacing w:after="0" w:line="240" w:lineRule="auto"/>
        <w:rPr>
          <w:rFonts w:ascii="Times New Roman" w:eastAsia="Times New Roman" w:hAnsi="Times New Roman" w:cs="Times New Roman"/>
          <w:bCs/>
          <w:sz w:val="12"/>
          <w:szCs w:val="12"/>
        </w:rPr>
      </w:pPr>
    </w:p>
    <w:tbl>
      <w:tblPr>
        <w:tblW w:w="9356" w:type="dxa"/>
        <w:tblInd w:w="-147"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78"/>
        <w:gridCol w:w="1560"/>
        <w:gridCol w:w="1559"/>
        <w:gridCol w:w="1559"/>
      </w:tblGrid>
      <w:tr w:rsidR="00884D6B" w:rsidRPr="00732CA0" w14:paraId="4A40A6DE" w14:textId="77777777" w:rsidTr="00DC725F">
        <w:trPr>
          <w:trHeight w:val="237"/>
        </w:trPr>
        <w:tc>
          <w:tcPr>
            <w:tcW w:w="46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4BA1E1" w14:textId="77777777" w:rsidR="00F4356A" w:rsidRPr="00732CA0" w:rsidRDefault="00F4356A" w:rsidP="00DC725F">
            <w:pPr>
              <w:spacing w:after="0" w:line="240" w:lineRule="auto"/>
              <w:jc w:val="center"/>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lang w:eastAsia="lv-LV"/>
              </w:rPr>
              <w:t xml:space="preserve">Projekta ietvaros veicamo darbību un būtisko izmaksu veidu raksturojošs apzīmējums </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8DFDB8" w14:textId="77777777" w:rsidR="00F4356A" w:rsidRPr="00732CA0" w:rsidRDefault="00F4356A" w:rsidP="00DC725F">
            <w:pPr>
              <w:spacing w:after="0" w:line="240" w:lineRule="auto"/>
              <w:jc w:val="center"/>
              <w:textAlignment w:val="baseline"/>
              <w:rPr>
                <w:rFonts w:ascii="Times New Roman" w:eastAsia="Times New Roman" w:hAnsi="Times New Roman" w:cs="Times New Roman"/>
                <w:i/>
                <w:iCs/>
                <w:sz w:val="20"/>
                <w:szCs w:val="20"/>
                <w:lang w:eastAsia="lv-LV"/>
              </w:rPr>
            </w:pPr>
            <w:r w:rsidRPr="00732CA0">
              <w:rPr>
                <w:rFonts w:ascii="Times New Roman" w:eastAsia="Times New Roman" w:hAnsi="Times New Roman" w:cs="Times New Roman"/>
                <w:bCs/>
                <w:sz w:val="20"/>
                <w:szCs w:val="20"/>
                <w:lang w:eastAsia="lv-LV"/>
              </w:rPr>
              <w:t>Izmaksu apmērs (indikatīvi)</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4B528A" w14:textId="77777777" w:rsidR="00F4356A" w:rsidRPr="00732CA0" w:rsidRDefault="00F4356A" w:rsidP="00DC725F">
            <w:pPr>
              <w:spacing w:after="0" w:line="240" w:lineRule="auto"/>
              <w:jc w:val="center"/>
              <w:textAlignment w:val="baseline"/>
              <w:rPr>
                <w:rFonts w:ascii="Times New Roman" w:eastAsia="Times New Roman" w:hAnsi="Times New Roman" w:cs="Times New Roman"/>
                <w:bCs/>
                <w:sz w:val="20"/>
                <w:szCs w:val="20"/>
                <w:lang w:eastAsia="lv-LV"/>
              </w:rPr>
            </w:pPr>
            <w:r w:rsidRPr="00732CA0">
              <w:rPr>
                <w:rFonts w:ascii="Times New Roman" w:eastAsia="Times New Roman" w:hAnsi="Times New Roman" w:cs="Times New Roman"/>
                <w:bCs/>
                <w:sz w:val="20"/>
                <w:szCs w:val="20"/>
                <w:lang w:eastAsia="lv-LV"/>
              </w:rPr>
              <w:t>Maksimālais apmērs</w:t>
            </w:r>
            <w:r w:rsidRPr="00732CA0">
              <w:rPr>
                <w:rStyle w:val="FootnoteReference"/>
                <w:rFonts w:ascii="Times New Roman" w:eastAsia="Times New Roman" w:hAnsi="Times New Roman" w:cs="Times New Roman"/>
                <w:bCs/>
                <w:sz w:val="20"/>
                <w:szCs w:val="20"/>
                <w:lang w:eastAsia="lv-LV"/>
              </w:rPr>
              <w:footnoteReference w:id="5"/>
            </w:r>
            <w:r w:rsidRPr="00732CA0">
              <w:rPr>
                <w:rFonts w:ascii="Times New Roman" w:eastAsia="Times New Roman" w:hAnsi="Times New Roman" w:cs="Times New Roman"/>
                <w:bCs/>
                <w:sz w:val="20"/>
                <w:szCs w:val="20"/>
                <w:lang w:eastAsia="lv-LV"/>
              </w:rPr>
              <w:t xml:space="preserve"> </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A31AE" w14:textId="77777777" w:rsidR="00F4356A" w:rsidRPr="00732CA0" w:rsidRDefault="00F4356A" w:rsidP="00DC725F">
            <w:pPr>
              <w:spacing w:after="0" w:line="240" w:lineRule="auto"/>
              <w:jc w:val="center"/>
              <w:textAlignment w:val="baseline"/>
              <w:rPr>
                <w:rFonts w:ascii="Times New Roman" w:eastAsia="Times New Roman" w:hAnsi="Times New Roman" w:cs="Times New Roman"/>
                <w:bCs/>
                <w:sz w:val="20"/>
                <w:szCs w:val="20"/>
                <w:lang w:eastAsia="lv-LV"/>
              </w:rPr>
            </w:pPr>
            <w:r w:rsidRPr="00732CA0">
              <w:rPr>
                <w:rFonts w:ascii="Times New Roman" w:eastAsia="Times New Roman" w:hAnsi="Times New Roman" w:cs="Times New Roman"/>
                <w:bCs/>
                <w:sz w:val="20"/>
                <w:szCs w:val="20"/>
                <w:lang w:eastAsia="lv-LV"/>
              </w:rPr>
              <w:t xml:space="preserve">Darbības iznākums </w:t>
            </w:r>
          </w:p>
        </w:tc>
      </w:tr>
      <w:tr w:rsidR="00884D6B" w:rsidRPr="00732CA0" w14:paraId="7F7CD6FD" w14:textId="77777777" w:rsidTr="00DC725F">
        <w:tc>
          <w:tcPr>
            <w:tcW w:w="46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4E7781" w14:textId="77777777" w:rsidR="00F4356A" w:rsidRPr="00732CA0" w:rsidRDefault="00F4356A" w:rsidP="00DC725F">
            <w:pPr>
              <w:spacing w:after="0" w:line="240" w:lineRule="auto"/>
              <w:ind w:left="57"/>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lang w:eastAsia="lv-LV"/>
              </w:rPr>
              <w:t>4.3. Kultūras ministrijas resora IKT pārvaldības pilnveidošana</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4B5612" w14:textId="77777777" w:rsidR="00F4356A" w:rsidRPr="00732CA0" w:rsidRDefault="00F4356A" w:rsidP="00DC725F">
            <w:pPr>
              <w:spacing w:after="0" w:line="240" w:lineRule="auto"/>
              <w:jc w:val="center"/>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rPr>
              <w:t>960 000</w:t>
            </w:r>
            <w:r w:rsidRPr="00732CA0">
              <w:rPr>
                <w:rFonts w:ascii="Times New Roman" w:eastAsia="Times New Roman" w:hAnsi="Times New Roman" w:cs="Times New Roman"/>
                <w:sz w:val="20"/>
                <w:szCs w:val="20"/>
                <w:lang w:eastAsia="lv-LV"/>
              </w:rPr>
              <w:t xml:space="preserve"> </w:t>
            </w:r>
            <w:r w:rsidRPr="00732CA0">
              <w:rPr>
                <w:rFonts w:ascii="Times New Roman" w:eastAsia="Times New Roman" w:hAnsi="Times New Roman" w:cs="Times New Roman"/>
                <w:i/>
                <w:iCs/>
                <w:sz w:val="20"/>
                <w:szCs w:val="20"/>
              </w:rPr>
              <w:t>euro</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31D1F3" w14:textId="77777777" w:rsidR="00F4356A" w:rsidRPr="00732CA0" w:rsidRDefault="00F4356A" w:rsidP="00DC725F">
            <w:pPr>
              <w:spacing w:after="0" w:line="240" w:lineRule="auto"/>
              <w:jc w:val="center"/>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rPr>
              <w:t>1 160 000</w:t>
            </w:r>
            <w:r w:rsidRPr="00732CA0">
              <w:rPr>
                <w:rFonts w:ascii="Times New Roman" w:eastAsia="Times New Roman" w:hAnsi="Times New Roman" w:cs="Times New Roman"/>
                <w:sz w:val="20"/>
                <w:szCs w:val="20"/>
                <w:lang w:eastAsia="lv-LV"/>
              </w:rPr>
              <w:t xml:space="preserve"> </w:t>
            </w:r>
            <w:r w:rsidRPr="00732CA0">
              <w:rPr>
                <w:rFonts w:ascii="Times New Roman" w:eastAsia="Times New Roman" w:hAnsi="Times New Roman" w:cs="Times New Roman"/>
                <w:i/>
                <w:iCs/>
                <w:sz w:val="20"/>
                <w:szCs w:val="20"/>
              </w:rPr>
              <w:t>euro</w:t>
            </w:r>
            <w:r w:rsidRPr="00732CA0">
              <w:rPr>
                <w:rFonts w:ascii="Times New Roman" w:eastAsia="Times New Roman" w:hAnsi="Times New Roman" w:cs="Times New Roman"/>
                <w:sz w:val="20"/>
                <w:szCs w:val="20"/>
                <w:lang w:eastAsia="lv-LV"/>
              </w:rPr>
              <w:t>*</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500FDA" w14:textId="77777777" w:rsidR="00F4356A" w:rsidRPr="00732CA0" w:rsidRDefault="00F4356A" w:rsidP="00DC725F">
            <w:pPr>
              <w:spacing w:after="0" w:line="240" w:lineRule="auto"/>
              <w:ind w:left="57"/>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rPr>
              <w:t>Vienots IKT pārvaldības process</w:t>
            </w:r>
          </w:p>
        </w:tc>
      </w:tr>
      <w:tr w:rsidR="00884D6B" w:rsidRPr="00732CA0" w14:paraId="32547FA4" w14:textId="77777777" w:rsidTr="00DC725F">
        <w:tc>
          <w:tcPr>
            <w:tcW w:w="4678" w:type="dxa"/>
            <w:tcBorders>
              <w:top w:val="single" w:sz="4" w:space="0" w:color="auto"/>
              <w:left w:val="single" w:sz="6" w:space="0" w:color="auto"/>
              <w:bottom w:val="single" w:sz="4" w:space="0" w:color="auto"/>
              <w:right w:val="single" w:sz="6" w:space="0" w:color="auto"/>
            </w:tcBorders>
            <w:tcMar>
              <w:top w:w="28" w:type="dxa"/>
              <w:left w:w="28" w:type="dxa"/>
              <w:bottom w:w="28" w:type="dxa"/>
              <w:right w:w="28" w:type="dxa"/>
            </w:tcMar>
          </w:tcPr>
          <w:p w14:paraId="7350B2F9" w14:textId="77777777" w:rsidR="00F4356A" w:rsidRPr="00732CA0" w:rsidRDefault="00F4356A" w:rsidP="00DC725F">
            <w:pPr>
              <w:spacing w:after="0" w:line="240" w:lineRule="auto"/>
              <w:ind w:left="57"/>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lang w:eastAsia="lv-LV"/>
              </w:rPr>
              <w:t>4.4. Kultūras nozares pamatdarbības sistēmu pilnveide</w:t>
            </w:r>
          </w:p>
        </w:tc>
        <w:tc>
          <w:tcPr>
            <w:tcW w:w="1560" w:type="dxa"/>
            <w:tcBorders>
              <w:top w:val="single" w:sz="4" w:space="0" w:color="auto"/>
              <w:left w:val="single" w:sz="6" w:space="0" w:color="auto"/>
              <w:bottom w:val="single" w:sz="4" w:space="0" w:color="auto"/>
              <w:right w:val="single" w:sz="6" w:space="0" w:color="auto"/>
            </w:tcBorders>
            <w:tcMar>
              <w:top w:w="28" w:type="dxa"/>
              <w:left w:w="28" w:type="dxa"/>
              <w:bottom w:w="28" w:type="dxa"/>
              <w:right w:w="28" w:type="dxa"/>
            </w:tcMar>
          </w:tcPr>
          <w:p w14:paraId="79EEFF74" w14:textId="77777777" w:rsidR="00F4356A" w:rsidRPr="00732CA0" w:rsidRDefault="00F4356A" w:rsidP="00DC725F">
            <w:pPr>
              <w:spacing w:after="0" w:line="240" w:lineRule="auto"/>
              <w:jc w:val="center"/>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rPr>
              <w:t>1 147 000</w:t>
            </w:r>
            <w:r w:rsidRPr="00732CA0">
              <w:rPr>
                <w:rFonts w:ascii="Times New Roman" w:eastAsia="Times New Roman" w:hAnsi="Times New Roman" w:cs="Times New Roman"/>
                <w:sz w:val="20"/>
                <w:szCs w:val="20"/>
                <w:lang w:eastAsia="lv-LV"/>
              </w:rPr>
              <w:t xml:space="preserve"> </w:t>
            </w:r>
            <w:r w:rsidRPr="00732CA0">
              <w:rPr>
                <w:rFonts w:ascii="Times New Roman" w:eastAsia="Times New Roman" w:hAnsi="Times New Roman" w:cs="Times New Roman"/>
                <w:i/>
                <w:iCs/>
                <w:sz w:val="20"/>
                <w:szCs w:val="20"/>
              </w:rPr>
              <w:t>euro</w:t>
            </w:r>
          </w:p>
        </w:tc>
        <w:tc>
          <w:tcPr>
            <w:tcW w:w="1559" w:type="dxa"/>
            <w:tcBorders>
              <w:top w:val="single" w:sz="4" w:space="0" w:color="auto"/>
              <w:left w:val="single" w:sz="6" w:space="0" w:color="auto"/>
              <w:bottom w:val="single" w:sz="4" w:space="0" w:color="auto"/>
              <w:right w:val="single" w:sz="6" w:space="0" w:color="auto"/>
            </w:tcBorders>
            <w:tcMar>
              <w:top w:w="28" w:type="dxa"/>
              <w:left w:w="28" w:type="dxa"/>
              <w:bottom w:w="28" w:type="dxa"/>
              <w:right w:w="28" w:type="dxa"/>
            </w:tcMar>
          </w:tcPr>
          <w:p w14:paraId="60CAEEDD" w14:textId="77777777" w:rsidR="00F4356A" w:rsidRPr="00732CA0" w:rsidRDefault="00F4356A" w:rsidP="00DC725F">
            <w:pPr>
              <w:spacing w:after="0" w:line="240" w:lineRule="auto"/>
              <w:jc w:val="center"/>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rPr>
              <w:t>1 347 000</w:t>
            </w:r>
            <w:r w:rsidRPr="00732CA0">
              <w:rPr>
                <w:rFonts w:ascii="Times New Roman" w:eastAsia="Times New Roman" w:hAnsi="Times New Roman" w:cs="Times New Roman"/>
                <w:sz w:val="20"/>
                <w:szCs w:val="20"/>
                <w:lang w:eastAsia="lv-LV"/>
              </w:rPr>
              <w:t xml:space="preserve"> </w:t>
            </w:r>
            <w:r w:rsidRPr="00732CA0">
              <w:rPr>
                <w:rFonts w:ascii="Times New Roman" w:eastAsia="Times New Roman" w:hAnsi="Times New Roman" w:cs="Times New Roman"/>
                <w:i/>
                <w:iCs/>
                <w:sz w:val="20"/>
                <w:szCs w:val="20"/>
              </w:rPr>
              <w:t>euro</w:t>
            </w:r>
            <w:r w:rsidRPr="00732CA0">
              <w:rPr>
                <w:rFonts w:ascii="Times New Roman" w:eastAsia="Times New Roman" w:hAnsi="Times New Roman" w:cs="Times New Roman"/>
                <w:sz w:val="20"/>
                <w:szCs w:val="20"/>
                <w:lang w:eastAsia="lv-LV"/>
              </w:rPr>
              <w:t>**</w:t>
            </w:r>
          </w:p>
        </w:tc>
        <w:tc>
          <w:tcPr>
            <w:tcW w:w="1559" w:type="dxa"/>
            <w:tcBorders>
              <w:top w:val="single" w:sz="4" w:space="0" w:color="auto"/>
              <w:left w:val="single" w:sz="6" w:space="0" w:color="auto"/>
              <w:bottom w:val="single" w:sz="4" w:space="0" w:color="auto"/>
              <w:right w:val="single" w:sz="6" w:space="0" w:color="auto"/>
            </w:tcBorders>
            <w:tcMar>
              <w:top w:w="28" w:type="dxa"/>
              <w:left w:w="28" w:type="dxa"/>
              <w:bottom w:w="28" w:type="dxa"/>
              <w:right w:w="28" w:type="dxa"/>
            </w:tcMar>
          </w:tcPr>
          <w:p w14:paraId="643A7983" w14:textId="77777777" w:rsidR="00F4356A" w:rsidRPr="00732CA0" w:rsidRDefault="00F4356A" w:rsidP="00DC725F">
            <w:pPr>
              <w:spacing w:after="0" w:line="240" w:lineRule="auto"/>
              <w:ind w:left="57"/>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lang w:eastAsia="lv-LV"/>
              </w:rPr>
              <w:t>Pilnveidotas četras sistēmas</w:t>
            </w:r>
          </w:p>
        </w:tc>
      </w:tr>
      <w:tr w:rsidR="00884D6B" w:rsidRPr="00732CA0" w:rsidDel="00E44568" w14:paraId="39F3E0D9" w14:textId="77777777" w:rsidTr="00DC725F">
        <w:tc>
          <w:tcPr>
            <w:tcW w:w="4678"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14:paraId="6EB18361" w14:textId="77777777" w:rsidR="00F4356A" w:rsidRPr="00732CA0" w:rsidRDefault="00F4356A" w:rsidP="00DC725F">
            <w:pPr>
              <w:spacing w:after="0" w:line="240" w:lineRule="auto"/>
              <w:ind w:left="57"/>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lang w:eastAsia="lv-LV"/>
              </w:rPr>
              <w:t>4.5. Projekta vadība, kuras ietvaros tiks nodrošināta projekta darbību plānošana un pārvaldība, projekta administratīvo dokumentu sagatavošana un uzglabāšana, projekta publicitātes obligāto pasākumu īstenošana</w:t>
            </w:r>
          </w:p>
        </w:tc>
        <w:tc>
          <w:tcPr>
            <w:tcW w:w="1560"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14:paraId="2B0A010C" w14:textId="77777777" w:rsidR="00F4356A" w:rsidRPr="00732CA0" w:rsidDel="00E44568" w:rsidRDefault="00F4356A" w:rsidP="00DC725F">
            <w:pPr>
              <w:spacing w:after="0" w:line="240" w:lineRule="auto"/>
              <w:jc w:val="center"/>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lang w:eastAsia="lv-LV"/>
              </w:rPr>
              <w:t xml:space="preserve">208 000 </w:t>
            </w:r>
            <w:r w:rsidRPr="00732CA0">
              <w:rPr>
                <w:rFonts w:ascii="Times New Roman" w:eastAsia="Times New Roman" w:hAnsi="Times New Roman" w:cs="Times New Roman"/>
                <w:bCs/>
                <w:i/>
                <w:iCs/>
                <w:sz w:val="20"/>
                <w:szCs w:val="20"/>
              </w:rPr>
              <w:t>euro</w:t>
            </w:r>
          </w:p>
        </w:tc>
        <w:tc>
          <w:tcPr>
            <w:tcW w:w="1559"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14:paraId="39D6F6E9" w14:textId="77777777" w:rsidR="00F4356A" w:rsidRPr="00732CA0" w:rsidDel="00E44568" w:rsidRDefault="00F4356A" w:rsidP="00DC725F">
            <w:pPr>
              <w:spacing w:after="0" w:line="240" w:lineRule="auto"/>
              <w:jc w:val="center"/>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lang w:eastAsia="lv-LV"/>
              </w:rPr>
              <w:t xml:space="preserve">208 000 </w:t>
            </w:r>
            <w:r w:rsidRPr="00732CA0">
              <w:rPr>
                <w:rFonts w:ascii="Times New Roman" w:eastAsia="Times New Roman" w:hAnsi="Times New Roman" w:cs="Times New Roman"/>
                <w:bCs/>
                <w:i/>
                <w:iCs/>
                <w:sz w:val="20"/>
                <w:szCs w:val="20"/>
              </w:rPr>
              <w:t>euro</w:t>
            </w:r>
          </w:p>
        </w:tc>
        <w:tc>
          <w:tcPr>
            <w:tcW w:w="1559"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14:paraId="06CB226A" w14:textId="77777777" w:rsidR="00F4356A" w:rsidRPr="00732CA0" w:rsidRDefault="00F4356A" w:rsidP="00DC725F">
            <w:pPr>
              <w:spacing w:after="0" w:line="240" w:lineRule="auto"/>
              <w:ind w:left="57"/>
              <w:textAlignment w:val="baseline"/>
              <w:rPr>
                <w:rFonts w:ascii="Times New Roman" w:eastAsia="Times New Roman" w:hAnsi="Times New Roman" w:cs="Times New Roman"/>
                <w:sz w:val="20"/>
                <w:szCs w:val="20"/>
                <w:lang w:eastAsia="lv-LV"/>
              </w:rPr>
            </w:pPr>
            <w:r w:rsidRPr="00732CA0">
              <w:rPr>
                <w:rFonts w:ascii="Times New Roman" w:eastAsia="Times New Roman" w:hAnsi="Times New Roman" w:cs="Times New Roman"/>
                <w:sz w:val="20"/>
                <w:szCs w:val="20"/>
                <w:lang w:eastAsia="lv-LV"/>
              </w:rPr>
              <w:t>Īstenots projekts</w:t>
            </w:r>
          </w:p>
        </w:tc>
      </w:tr>
    </w:tbl>
    <w:p w14:paraId="5C05C257" w14:textId="77777777" w:rsidR="00F4356A" w:rsidRPr="00732CA0" w:rsidRDefault="00F4356A" w:rsidP="00F4356A">
      <w:pPr>
        <w:pStyle w:val="ListParagraph"/>
        <w:spacing w:before="120" w:after="0" w:line="240" w:lineRule="auto"/>
        <w:ind w:left="142" w:hanging="142"/>
        <w:jc w:val="both"/>
        <w:rPr>
          <w:rFonts w:ascii="Times New Roman" w:eastAsia="Times New Roman" w:hAnsi="Times New Roman" w:cs="Times New Roman"/>
          <w:sz w:val="18"/>
          <w:szCs w:val="18"/>
        </w:rPr>
      </w:pPr>
      <w:r w:rsidRPr="00732CA0">
        <w:rPr>
          <w:rFonts w:ascii="Times New Roman" w:eastAsia="Times New Roman" w:hAnsi="Times New Roman" w:cs="Times New Roman"/>
          <w:sz w:val="18"/>
          <w:szCs w:val="18"/>
        </w:rPr>
        <w:t>* Ja 4.4. </w:t>
      </w:r>
      <w:r w:rsidRPr="00732CA0">
        <w:rPr>
          <w:rFonts w:ascii="Times New Roman" w:hAnsi="Times New Roman" w:cs="Times New Roman"/>
          <w:sz w:val="18"/>
          <w:szCs w:val="18"/>
        </w:rPr>
        <w:t>apakšpunktā</w:t>
      </w:r>
      <w:r w:rsidRPr="00732CA0">
        <w:rPr>
          <w:rFonts w:ascii="Times New Roman" w:eastAsia="Times New Roman" w:hAnsi="Times New Roman" w:cs="Times New Roman"/>
          <w:sz w:val="18"/>
          <w:szCs w:val="18"/>
        </w:rPr>
        <w:t xml:space="preserve"> minētajai darbībai izmaksu apmērs projekta īstenošanas gaitā ir zemāks par indikatīvo, joprojām nepārsniedzot kopējo 4.3. un 4.4. apakšpunktā plānoto izmaksu apmēru 2 107 000 </w:t>
      </w:r>
      <w:r w:rsidRPr="00732CA0">
        <w:rPr>
          <w:rFonts w:ascii="Times New Roman" w:eastAsia="Times New Roman" w:hAnsi="Times New Roman" w:cs="Times New Roman"/>
          <w:i/>
          <w:iCs/>
          <w:sz w:val="18"/>
          <w:szCs w:val="18"/>
        </w:rPr>
        <w:t>euro</w:t>
      </w:r>
      <w:r w:rsidRPr="00732CA0">
        <w:rPr>
          <w:rFonts w:ascii="Times New Roman" w:eastAsia="Times New Roman" w:hAnsi="Times New Roman" w:cs="Times New Roman"/>
          <w:sz w:val="18"/>
          <w:szCs w:val="18"/>
        </w:rPr>
        <w:t>.</w:t>
      </w:r>
    </w:p>
    <w:p w14:paraId="63FD77D1" w14:textId="77777777" w:rsidR="00F4356A" w:rsidRPr="00732CA0" w:rsidRDefault="00F4356A" w:rsidP="00F4356A">
      <w:pPr>
        <w:pStyle w:val="ListParagraph"/>
        <w:spacing w:before="120" w:after="0" w:line="240" w:lineRule="auto"/>
        <w:ind w:left="227" w:hanging="227"/>
        <w:jc w:val="both"/>
        <w:rPr>
          <w:rFonts w:ascii="Times New Roman" w:eastAsia="Times New Roman" w:hAnsi="Times New Roman" w:cs="Times New Roman"/>
          <w:sz w:val="18"/>
          <w:szCs w:val="18"/>
        </w:rPr>
      </w:pPr>
      <w:r w:rsidRPr="00732CA0">
        <w:rPr>
          <w:rFonts w:ascii="Times New Roman" w:eastAsia="Times New Roman" w:hAnsi="Times New Roman" w:cs="Times New Roman"/>
          <w:sz w:val="18"/>
          <w:szCs w:val="18"/>
        </w:rPr>
        <w:t xml:space="preserve">** Ja 4.3. apakšpunktā minētajai darbībai izmaksu apmērs projekta īstenošanas gaitā ir zemāks par indikatīvo, joprojām nepārsniedzot kopējo 4.3. un 4.4. apakšpunktā plānoto izmaksu apmēru 2 107 000 </w:t>
      </w:r>
      <w:r w:rsidRPr="00732CA0">
        <w:rPr>
          <w:rFonts w:ascii="Times New Roman" w:eastAsia="Times New Roman" w:hAnsi="Times New Roman" w:cs="Times New Roman"/>
          <w:i/>
          <w:iCs/>
          <w:sz w:val="18"/>
          <w:szCs w:val="18"/>
        </w:rPr>
        <w:t>euro</w:t>
      </w:r>
      <w:r w:rsidRPr="00732CA0">
        <w:rPr>
          <w:rFonts w:ascii="Times New Roman" w:eastAsia="Times New Roman" w:hAnsi="Times New Roman" w:cs="Times New Roman"/>
          <w:sz w:val="18"/>
          <w:szCs w:val="18"/>
        </w:rPr>
        <w:t>.</w:t>
      </w:r>
    </w:p>
    <w:p w14:paraId="0DEA8291" w14:textId="77777777" w:rsidR="00F4356A" w:rsidRPr="00732CA0" w:rsidRDefault="00F4356A" w:rsidP="00F4356A">
      <w:pPr>
        <w:pStyle w:val="ListParagraph"/>
        <w:spacing w:after="0" w:line="240" w:lineRule="auto"/>
        <w:ind w:left="0"/>
        <w:rPr>
          <w:rFonts w:ascii="Times New Roman" w:eastAsia="Times New Roman" w:hAnsi="Times New Roman" w:cs="Times New Roman"/>
          <w:bCs/>
          <w:sz w:val="24"/>
          <w:szCs w:val="24"/>
        </w:rPr>
      </w:pPr>
    </w:p>
    <w:p w14:paraId="21056634" w14:textId="77777777" w:rsidR="00F4356A" w:rsidRPr="00732CA0" w:rsidRDefault="00F4356A" w:rsidP="00F4356A">
      <w:pPr>
        <w:spacing w:after="0" w:line="240" w:lineRule="auto"/>
        <w:rPr>
          <w:rFonts w:ascii="Times New Roman" w:eastAsia="Times New Roman" w:hAnsi="Times New Roman" w:cs="Times New Roman"/>
          <w:b/>
          <w:sz w:val="24"/>
          <w:szCs w:val="24"/>
        </w:rPr>
      </w:pPr>
      <w:r w:rsidRPr="00732CA0">
        <w:rPr>
          <w:rFonts w:ascii="Times New Roman" w:eastAsia="Times New Roman" w:hAnsi="Times New Roman" w:cs="Times New Roman"/>
          <w:b/>
          <w:sz w:val="24"/>
          <w:szCs w:val="24"/>
        </w:rPr>
        <w:t>5. Projekta ieguldījums reformu un investīciju mērķu rādītāju sasniegšanā</w:t>
      </w:r>
    </w:p>
    <w:p w14:paraId="672E98A7" w14:textId="77777777" w:rsidR="00F4356A" w:rsidRPr="00732CA0" w:rsidRDefault="00F4356A" w:rsidP="00F4356A">
      <w:pPr>
        <w:spacing w:after="0" w:line="240" w:lineRule="auto"/>
        <w:rPr>
          <w:rFonts w:ascii="Times New Roman" w:eastAsia="Times New Roman" w:hAnsi="Times New Roman" w:cs="Times New Roman"/>
          <w:bCs/>
          <w:sz w:val="20"/>
          <w:szCs w:val="20"/>
        </w:rPr>
      </w:pPr>
    </w:p>
    <w:p w14:paraId="01A32E9D" w14:textId="77777777" w:rsidR="00F4356A" w:rsidRPr="00732CA0" w:rsidRDefault="00F4356A" w:rsidP="00F4356A">
      <w:pPr>
        <w:spacing w:after="60" w:line="240" w:lineRule="auto"/>
        <w:rPr>
          <w:rFonts w:ascii="Times New Roman" w:eastAsia="Times New Roman" w:hAnsi="Times New Roman" w:cs="Times New Roman"/>
          <w:b/>
        </w:rPr>
      </w:pPr>
      <w:r w:rsidRPr="00732CA0">
        <w:rPr>
          <w:rFonts w:ascii="Times New Roman" w:eastAsia="Times New Roman" w:hAnsi="Times New Roman" w:cs="Times New Roman"/>
          <w:b/>
        </w:rPr>
        <w:t>5.1. Modernizēto pārvaldes procesu IKT risinājumi</w:t>
      </w:r>
    </w:p>
    <w:tbl>
      <w:tblPr>
        <w:tblStyle w:val="TableGrid"/>
        <w:tblW w:w="9356" w:type="dxa"/>
        <w:tblInd w:w="-147" w:type="dxa"/>
        <w:tblLayout w:type="fixed"/>
        <w:tblLook w:val="04A0" w:firstRow="1" w:lastRow="0" w:firstColumn="1" w:lastColumn="0" w:noHBand="0" w:noVBand="1"/>
      </w:tblPr>
      <w:tblGrid>
        <w:gridCol w:w="568"/>
        <w:gridCol w:w="1417"/>
        <w:gridCol w:w="3402"/>
        <w:gridCol w:w="851"/>
        <w:gridCol w:w="1134"/>
        <w:gridCol w:w="992"/>
        <w:gridCol w:w="992"/>
      </w:tblGrid>
      <w:tr w:rsidR="00884D6B" w:rsidRPr="00732CA0" w14:paraId="5794B6D5" w14:textId="77777777" w:rsidTr="00DC725F">
        <w:trPr>
          <w:cantSplit/>
          <w:trHeight w:val="686"/>
        </w:trPr>
        <w:tc>
          <w:tcPr>
            <w:tcW w:w="568" w:type="dxa"/>
            <w:vAlign w:val="center"/>
          </w:tcPr>
          <w:p w14:paraId="6C3FFEBF" w14:textId="77777777" w:rsidR="00F4356A" w:rsidRPr="00732CA0" w:rsidRDefault="00F4356A" w:rsidP="00DC725F">
            <w:pPr>
              <w:ind w:left="-113" w:right="-113"/>
              <w:jc w:val="center"/>
              <w:rPr>
                <w:rFonts w:ascii="Times New Roman" w:eastAsia="Times New Roman" w:hAnsi="Times New Roman" w:cs="Times New Roman"/>
                <w:spacing w:val="-2"/>
                <w:sz w:val="19"/>
                <w:szCs w:val="19"/>
              </w:rPr>
            </w:pPr>
            <w:r w:rsidRPr="00732CA0">
              <w:rPr>
                <w:rFonts w:ascii="Times New Roman" w:eastAsia="Times New Roman" w:hAnsi="Times New Roman" w:cs="Times New Roman"/>
                <w:spacing w:val="-2"/>
                <w:sz w:val="19"/>
                <w:szCs w:val="19"/>
              </w:rPr>
              <w:t>Skaits</w:t>
            </w:r>
          </w:p>
        </w:tc>
        <w:tc>
          <w:tcPr>
            <w:tcW w:w="1417" w:type="dxa"/>
            <w:vAlign w:val="center"/>
          </w:tcPr>
          <w:p w14:paraId="6E1CCAB0" w14:textId="77777777" w:rsidR="00F4356A" w:rsidRPr="00732CA0" w:rsidRDefault="00F4356A" w:rsidP="00DC725F">
            <w:pPr>
              <w:ind w:left="-57" w:right="-57"/>
              <w:jc w:val="center"/>
              <w:rPr>
                <w:rFonts w:ascii="Times New Roman" w:eastAsia="Times New Roman" w:hAnsi="Times New Roman" w:cs="Times New Roman"/>
                <w:spacing w:val="-2"/>
                <w:sz w:val="19"/>
                <w:szCs w:val="19"/>
              </w:rPr>
            </w:pPr>
            <w:r w:rsidRPr="00732CA0">
              <w:rPr>
                <w:rFonts w:ascii="Times New Roman" w:eastAsia="Times New Roman" w:hAnsi="Times New Roman" w:cs="Times New Roman"/>
                <w:spacing w:val="-2"/>
                <w:sz w:val="19"/>
                <w:szCs w:val="19"/>
              </w:rPr>
              <w:t>IKT risinājuma nosaukums</w:t>
            </w:r>
          </w:p>
        </w:tc>
        <w:tc>
          <w:tcPr>
            <w:tcW w:w="3402" w:type="dxa"/>
            <w:vAlign w:val="center"/>
          </w:tcPr>
          <w:p w14:paraId="6198BD7E" w14:textId="77777777" w:rsidR="00F4356A" w:rsidRPr="00732CA0" w:rsidRDefault="00F4356A" w:rsidP="00DC725F">
            <w:pPr>
              <w:ind w:left="-28" w:right="-28"/>
              <w:jc w:val="center"/>
              <w:rPr>
                <w:rFonts w:ascii="Times New Roman" w:eastAsia="Times New Roman" w:hAnsi="Times New Roman" w:cs="Times New Roman"/>
                <w:spacing w:val="-2"/>
                <w:sz w:val="19"/>
                <w:szCs w:val="19"/>
              </w:rPr>
            </w:pPr>
            <w:r w:rsidRPr="00732CA0">
              <w:rPr>
                <w:rFonts w:ascii="Times New Roman" w:eastAsia="Times New Roman" w:hAnsi="Times New Roman" w:cs="Times New Roman"/>
                <w:spacing w:val="-2"/>
                <w:sz w:val="19"/>
                <w:szCs w:val="19"/>
              </w:rPr>
              <w:t>Īss apraksts</w:t>
            </w:r>
            <w:r w:rsidRPr="00732CA0">
              <w:rPr>
                <w:rStyle w:val="FootnoteReference"/>
                <w:rFonts w:ascii="Times New Roman" w:eastAsia="Times New Roman" w:hAnsi="Times New Roman" w:cs="Times New Roman"/>
                <w:spacing w:val="-2"/>
                <w:sz w:val="19"/>
                <w:szCs w:val="19"/>
              </w:rPr>
              <w:footnoteReference w:id="6"/>
            </w:r>
          </w:p>
        </w:tc>
        <w:tc>
          <w:tcPr>
            <w:tcW w:w="851" w:type="dxa"/>
            <w:vAlign w:val="center"/>
          </w:tcPr>
          <w:p w14:paraId="3BAA78D8" w14:textId="77777777" w:rsidR="00F4356A" w:rsidRPr="00732CA0" w:rsidRDefault="00F4356A" w:rsidP="00DC725F">
            <w:pPr>
              <w:ind w:left="-57" w:right="-57"/>
              <w:jc w:val="center"/>
              <w:rPr>
                <w:rFonts w:ascii="Times New Roman" w:eastAsia="Times New Roman" w:hAnsi="Times New Roman" w:cs="Times New Roman"/>
                <w:sz w:val="19"/>
                <w:szCs w:val="19"/>
              </w:rPr>
            </w:pPr>
            <w:r w:rsidRPr="00732CA0">
              <w:rPr>
                <w:rFonts w:ascii="Times New Roman" w:eastAsia="Times New Roman" w:hAnsi="Times New Roman" w:cs="Times New Roman"/>
                <w:sz w:val="19"/>
                <w:szCs w:val="19"/>
              </w:rPr>
              <w:t>Valsts mākonī</w:t>
            </w:r>
            <w:r w:rsidRPr="00732CA0">
              <w:rPr>
                <w:rStyle w:val="FootnoteReference"/>
                <w:rFonts w:ascii="Times New Roman" w:eastAsia="Times New Roman" w:hAnsi="Times New Roman" w:cs="Times New Roman"/>
                <w:sz w:val="19"/>
                <w:szCs w:val="19"/>
              </w:rPr>
              <w:footnoteReference w:id="7"/>
            </w:r>
          </w:p>
          <w:p w14:paraId="15EAC9CB" w14:textId="77777777" w:rsidR="00F4356A" w:rsidRPr="00732CA0" w:rsidRDefault="00F4356A" w:rsidP="00DC725F">
            <w:pPr>
              <w:ind w:left="-57" w:right="-57"/>
              <w:jc w:val="center"/>
              <w:rPr>
                <w:rFonts w:ascii="Times New Roman" w:eastAsia="Times New Roman" w:hAnsi="Times New Roman" w:cs="Times New Roman"/>
                <w:sz w:val="19"/>
                <w:szCs w:val="19"/>
              </w:rPr>
            </w:pPr>
            <w:r w:rsidRPr="00732CA0">
              <w:rPr>
                <w:rFonts w:ascii="Times New Roman" w:eastAsia="Times New Roman" w:hAnsi="Times New Roman" w:cs="Times New Roman"/>
                <w:sz w:val="19"/>
                <w:szCs w:val="19"/>
              </w:rPr>
              <w:t>(jā/nē)</w:t>
            </w:r>
          </w:p>
        </w:tc>
        <w:tc>
          <w:tcPr>
            <w:tcW w:w="1134" w:type="dxa"/>
            <w:vAlign w:val="center"/>
          </w:tcPr>
          <w:p w14:paraId="6B4C239F" w14:textId="77777777" w:rsidR="00F4356A" w:rsidRPr="00732CA0" w:rsidRDefault="00F4356A" w:rsidP="00DC725F">
            <w:pPr>
              <w:ind w:left="-57" w:right="-57"/>
              <w:jc w:val="center"/>
              <w:rPr>
                <w:rFonts w:ascii="Times New Roman" w:eastAsia="Times New Roman" w:hAnsi="Times New Roman" w:cs="Times New Roman"/>
                <w:spacing w:val="-2"/>
                <w:sz w:val="19"/>
                <w:szCs w:val="19"/>
              </w:rPr>
            </w:pPr>
            <w:r w:rsidRPr="00732CA0">
              <w:rPr>
                <w:rFonts w:ascii="Times New Roman" w:eastAsia="Times New Roman" w:hAnsi="Times New Roman" w:cs="Times New Roman"/>
                <w:spacing w:val="-2"/>
                <w:sz w:val="19"/>
                <w:szCs w:val="19"/>
              </w:rPr>
              <w:t>Termiņš IKT risinājumu attīstības saskaņošanai</w:t>
            </w:r>
            <w:r w:rsidRPr="00732CA0">
              <w:rPr>
                <w:rStyle w:val="FootnoteReference"/>
                <w:rFonts w:ascii="Times New Roman" w:eastAsia="Times New Roman" w:hAnsi="Times New Roman" w:cs="Times New Roman"/>
                <w:spacing w:val="-2"/>
                <w:sz w:val="19"/>
                <w:szCs w:val="19"/>
              </w:rPr>
              <w:footnoteReference w:id="8"/>
            </w:r>
            <w:r w:rsidRPr="00732CA0">
              <w:rPr>
                <w:rFonts w:ascii="Times New Roman" w:eastAsia="Times New Roman" w:hAnsi="Times New Roman" w:cs="Times New Roman"/>
                <w:spacing w:val="-2"/>
                <w:sz w:val="19"/>
                <w:szCs w:val="19"/>
              </w:rPr>
              <w:t xml:space="preserve"> (gads, ceturksnis)</w:t>
            </w:r>
          </w:p>
        </w:tc>
        <w:tc>
          <w:tcPr>
            <w:tcW w:w="992" w:type="dxa"/>
            <w:vAlign w:val="center"/>
          </w:tcPr>
          <w:p w14:paraId="62FF7169" w14:textId="77777777" w:rsidR="00F4356A" w:rsidRPr="00732CA0" w:rsidRDefault="00F4356A" w:rsidP="00DC725F">
            <w:pPr>
              <w:ind w:left="-57" w:right="-57"/>
              <w:jc w:val="center"/>
              <w:rPr>
                <w:rFonts w:ascii="Times New Roman" w:eastAsia="Times New Roman" w:hAnsi="Times New Roman" w:cs="Times New Roman"/>
                <w:spacing w:val="-2"/>
                <w:sz w:val="19"/>
                <w:szCs w:val="19"/>
              </w:rPr>
            </w:pPr>
            <w:r w:rsidRPr="00732CA0">
              <w:rPr>
                <w:rFonts w:ascii="Times New Roman" w:eastAsia="Times New Roman" w:hAnsi="Times New Roman" w:cs="Times New Roman"/>
                <w:spacing w:val="-2"/>
                <w:sz w:val="19"/>
                <w:szCs w:val="19"/>
              </w:rPr>
              <w:t>Termiņš ieviešanai produkcijā (gads, ceturksnis)</w:t>
            </w:r>
          </w:p>
        </w:tc>
        <w:tc>
          <w:tcPr>
            <w:tcW w:w="992" w:type="dxa"/>
            <w:vAlign w:val="center"/>
          </w:tcPr>
          <w:p w14:paraId="7CAEC3A6" w14:textId="77777777" w:rsidR="00F4356A" w:rsidRPr="00732CA0" w:rsidRDefault="00F4356A" w:rsidP="00DC725F">
            <w:pPr>
              <w:ind w:left="-57" w:right="-57"/>
              <w:jc w:val="center"/>
              <w:rPr>
                <w:rFonts w:ascii="Times New Roman" w:eastAsia="Times New Roman" w:hAnsi="Times New Roman" w:cs="Times New Roman"/>
                <w:spacing w:val="-4"/>
                <w:sz w:val="19"/>
                <w:szCs w:val="19"/>
              </w:rPr>
            </w:pPr>
            <w:r w:rsidRPr="00732CA0">
              <w:rPr>
                <w:rFonts w:ascii="Times New Roman" w:eastAsia="Times New Roman" w:hAnsi="Times New Roman" w:cs="Times New Roman"/>
                <w:spacing w:val="-4"/>
                <w:sz w:val="19"/>
                <w:szCs w:val="19"/>
              </w:rPr>
              <w:t>Risinājuma lietotāji (skaits)</w:t>
            </w:r>
          </w:p>
        </w:tc>
      </w:tr>
      <w:tr w:rsidR="00884D6B" w:rsidRPr="00732CA0" w14:paraId="59E28007" w14:textId="77777777" w:rsidTr="00DC725F">
        <w:trPr>
          <w:trHeight w:val="273"/>
        </w:trPr>
        <w:tc>
          <w:tcPr>
            <w:tcW w:w="568" w:type="dxa"/>
            <w:vMerge w:val="restart"/>
          </w:tcPr>
          <w:p w14:paraId="7F36E935"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4</w:t>
            </w:r>
          </w:p>
        </w:tc>
        <w:tc>
          <w:tcPr>
            <w:tcW w:w="1417" w:type="dxa"/>
          </w:tcPr>
          <w:p w14:paraId="789DA2AB" w14:textId="77777777" w:rsidR="00F4356A" w:rsidRPr="00732CA0" w:rsidRDefault="00F4356A" w:rsidP="00DC725F">
            <w:pPr>
              <w:ind w:left="-57" w:right="-57"/>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5.1.1. Nacionālā muzeju krājuma kopkatalogs</w:t>
            </w:r>
          </w:p>
        </w:tc>
        <w:tc>
          <w:tcPr>
            <w:tcW w:w="3402" w:type="dxa"/>
          </w:tcPr>
          <w:p w14:paraId="5276633F" w14:textId="77777777" w:rsidR="00F4356A" w:rsidRPr="00732CA0" w:rsidRDefault="00F4356A" w:rsidP="00DC725F">
            <w:pPr>
              <w:ind w:left="-28" w:right="-28"/>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 xml:space="preserve">Valsts informācijas sistēmas </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Nacionālais muzeju krājuma kopkatalogs</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 xml:space="preserve"> publiskās vides pārbūve un modernizācija, padarot to par mūsdienīgu un lietotājam ērtu Latvijas akreditētajos muzejos uzkrātā kultūras mantojuma izplatīšanas un popularizēšanas platformu. NMKK IS darba vides uzlabojumi, pielāgojot to aktuālajām muzeju darbinieku vajadzībām. NMKK ir lielākā muzeju platforma Latvijā, taču tās publiskās vides atjaunošana pēdējo reizi veikta pirms 10 gadiem (līdz ar to daudzi risinājumi kļuvuši mūsdienu digitālās vides lietotājam neērti) un ir nepieciešama tās atjaunošana un pielāgošana mūsdienu lietotāju vajadzībām un aktuālajām digitālās </w:t>
            </w:r>
            <w:r w:rsidRPr="00732CA0">
              <w:rPr>
                <w:rFonts w:ascii="Times New Roman" w:eastAsia="Times New Roman" w:hAnsi="Times New Roman" w:cs="Times New Roman"/>
                <w:spacing w:val="-4"/>
                <w:sz w:val="20"/>
                <w:szCs w:val="20"/>
              </w:rPr>
              <w:t>vides tendencēm. Papildus nepieciešama</w:t>
            </w:r>
            <w:r w:rsidRPr="00732CA0">
              <w:rPr>
                <w:rFonts w:ascii="Times New Roman" w:eastAsia="Times New Roman" w:hAnsi="Times New Roman" w:cs="Times New Roman"/>
                <w:spacing w:val="-2"/>
                <w:sz w:val="20"/>
                <w:szCs w:val="20"/>
              </w:rPr>
              <w:t xml:space="preserve"> arī vairāku muzeju darba vides funkcionalitāšu atjaunošana, lai darbs ar NMKK IS ikdienā tiktu atvieglināts vairāk nekā 700 lietotājiem – 130 Latvijas akreditēto muzeju darbiniekiem, tādējādi veicinot publiski apskatāmā Nacionālā muzeju krājuma pieaugumu</w:t>
            </w:r>
          </w:p>
        </w:tc>
        <w:tc>
          <w:tcPr>
            <w:tcW w:w="851" w:type="dxa"/>
          </w:tcPr>
          <w:p w14:paraId="22CA3BBC"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Jā, LNB</w:t>
            </w:r>
          </w:p>
        </w:tc>
        <w:tc>
          <w:tcPr>
            <w:tcW w:w="1134" w:type="dxa"/>
          </w:tcPr>
          <w:p w14:paraId="43625897"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2023. gada I cet.</w:t>
            </w:r>
          </w:p>
        </w:tc>
        <w:tc>
          <w:tcPr>
            <w:tcW w:w="992" w:type="dxa"/>
          </w:tcPr>
          <w:p w14:paraId="2EED62A9" w14:textId="77777777" w:rsidR="00F4356A" w:rsidRPr="00732CA0" w:rsidRDefault="00F4356A" w:rsidP="00DC725F">
            <w:pPr>
              <w:ind w:left="-57" w:right="-57"/>
              <w:jc w:val="center"/>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2024. gada IV cet.</w:t>
            </w:r>
          </w:p>
        </w:tc>
        <w:tc>
          <w:tcPr>
            <w:tcW w:w="992" w:type="dxa"/>
          </w:tcPr>
          <w:p w14:paraId="63EEC403" w14:textId="77777777" w:rsidR="00F4356A" w:rsidRPr="00732CA0" w:rsidRDefault="00F4356A" w:rsidP="00DC725F">
            <w:pPr>
              <w:ind w:left="-57" w:right="-57"/>
              <w:jc w:val="center"/>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700 darbinieki muzejos</w:t>
            </w:r>
          </w:p>
        </w:tc>
      </w:tr>
      <w:tr w:rsidR="00884D6B" w:rsidRPr="00732CA0" w14:paraId="12A9E488" w14:textId="77777777" w:rsidTr="00DC725F">
        <w:trPr>
          <w:trHeight w:val="273"/>
        </w:trPr>
        <w:tc>
          <w:tcPr>
            <w:tcW w:w="568" w:type="dxa"/>
            <w:vMerge/>
          </w:tcPr>
          <w:p w14:paraId="61567DAF" w14:textId="77777777" w:rsidR="00F4356A" w:rsidRPr="00732CA0" w:rsidRDefault="00F4356A" w:rsidP="00DC725F">
            <w:pPr>
              <w:jc w:val="center"/>
              <w:rPr>
                <w:rFonts w:ascii="Times New Roman" w:hAnsi="Times New Roman" w:cs="Times New Roman"/>
                <w:iCs/>
                <w:sz w:val="20"/>
                <w:szCs w:val="20"/>
              </w:rPr>
            </w:pPr>
          </w:p>
        </w:tc>
        <w:tc>
          <w:tcPr>
            <w:tcW w:w="1417" w:type="dxa"/>
          </w:tcPr>
          <w:p w14:paraId="4E20870D" w14:textId="77777777" w:rsidR="00F4356A" w:rsidRPr="00732CA0" w:rsidDel="00C6139E" w:rsidRDefault="00F4356A" w:rsidP="00DC725F">
            <w:pPr>
              <w:ind w:left="-57" w:right="-57"/>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5.1.2. Vienotā valsts arhīvu informācijas sistēma</w:t>
            </w:r>
          </w:p>
        </w:tc>
        <w:tc>
          <w:tcPr>
            <w:tcW w:w="3402" w:type="dxa"/>
          </w:tcPr>
          <w:p w14:paraId="50E9EDD1" w14:textId="77777777" w:rsidR="00F4356A" w:rsidRPr="00732CA0" w:rsidRDefault="00F4356A" w:rsidP="00DC725F">
            <w:pPr>
              <w:ind w:left="-28" w:right="-28"/>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LNA e-pakalpojumu portāls (</w:t>
            </w:r>
            <w:hyperlink r:id="rId11" w:history="1">
              <w:r w:rsidRPr="00732CA0">
                <w:rPr>
                  <w:rStyle w:val="Hyperlink"/>
                  <w:rFonts w:ascii="Times New Roman" w:eastAsia="Times New Roman" w:hAnsi="Times New Roman" w:cs="Times New Roman"/>
                  <w:color w:val="auto"/>
                  <w:spacing w:val="-2"/>
                  <w:sz w:val="20"/>
                  <w:szCs w:val="20"/>
                </w:rPr>
                <w:t>eresursi.arhivi.gov.lv</w:t>
              </w:r>
            </w:hyperlink>
            <w:r w:rsidRPr="00732CA0">
              <w:rPr>
                <w:rFonts w:ascii="Times New Roman" w:eastAsia="Times New Roman" w:hAnsi="Times New Roman" w:cs="Times New Roman"/>
                <w:spacing w:val="-2"/>
                <w:sz w:val="20"/>
                <w:szCs w:val="20"/>
              </w:rPr>
              <w:t xml:space="preserve">) veidots pirms 10 gadiem, tomēr Covid-19 pandēmijas laikā lielais lietotāju pieprasījumu skaits liecina, ka elektroniskie pakalpojumi ir nepieciešami un lietotāji cenšas tos izmantot. Lai nodrošinātu mūsdienīgu un ērtu e-pakalpojumu izpildi, nepieciešams izveidot jaunu vietni, ņemot vērā labāko praksi un lietotāju vajadzības, tai skaitā piekļūstamības prasības un ērtu piekļuvi no mobilajām iekārtām. Vietnē tiks </w:t>
            </w:r>
            <w:r w:rsidRPr="00732CA0">
              <w:rPr>
                <w:rFonts w:ascii="Times New Roman" w:eastAsia="Times New Roman" w:hAnsi="Times New Roman" w:cs="Times New Roman"/>
                <w:spacing w:val="-2"/>
                <w:sz w:val="20"/>
                <w:szCs w:val="20"/>
              </w:rPr>
              <w:lastRenderedPageBreak/>
              <w:t>piedāvāts ar e-pakalpojumiem saistīts LNA resursu meklētājs un pakalpojumi tiks nodrošināti dažādās valodās</w:t>
            </w:r>
          </w:p>
        </w:tc>
        <w:tc>
          <w:tcPr>
            <w:tcW w:w="851" w:type="dxa"/>
          </w:tcPr>
          <w:p w14:paraId="39553A93"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lastRenderedPageBreak/>
              <w:t>Jā, LNB</w:t>
            </w:r>
          </w:p>
        </w:tc>
        <w:tc>
          <w:tcPr>
            <w:tcW w:w="1134" w:type="dxa"/>
          </w:tcPr>
          <w:p w14:paraId="15B4F677"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2023. gada I cet.</w:t>
            </w:r>
          </w:p>
        </w:tc>
        <w:tc>
          <w:tcPr>
            <w:tcW w:w="992" w:type="dxa"/>
          </w:tcPr>
          <w:p w14:paraId="5A5FFDA2" w14:textId="625C2EA1" w:rsidR="00F4356A" w:rsidRPr="00732CA0" w:rsidRDefault="00F4356A" w:rsidP="00DC725F">
            <w:pPr>
              <w:ind w:left="-57" w:right="-57"/>
              <w:jc w:val="center"/>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202</w:t>
            </w:r>
            <w:r w:rsidR="00C87788" w:rsidRPr="00732CA0">
              <w:rPr>
                <w:rFonts w:ascii="Times New Roman" w:eastAsia="Times New Roman" w:hAnsi="Times New Roman" w:cs="Times New Roman"/>
                <w:spacing w:val="-2"/>
                <w:sz w:val="20"/>
                <w:szCs w:val="20"/>
              </w:rPr>
              <w:t>6</w:t>
            </w:r>
            <w:r w:rsidRPr="00732CA0">
              <w:rPr>
                <w:rFonts w:ascii="Times New Roman" w:eastAsia="Times New Roman" w:hAnsi="Times New Roman" w:cs="Times New Roman"/>
                <w:spacing w:val="-2"/>
                <w:sz w:val="20"/>
                <w:szCs w:val="20"/>
              </w:rPr>
              <w:t>. gada I</w:t>
            </w:r>
            <w:r w:rsidR="00C87788" w:rsidRPr="00732CA0">
              <w:rPr>
                <w:rFonts w:ascii="Times New Roman" w:eastAsia="Times New Roman" w:hAnsi="Times New Roman" w:cs="Times New Roman"/>
                <w:spacing w:val="-2"/>
                <w:sz w:val="20"/>
                <w:szCs w:val="20"/>
              </w:rPr>
              <w:t>I</w:t>
            </w:r>
            <w:r w:rsidR="00912EBE" w:rsidRPr="00732CA0">
              <w:rPr>
                <w:rFonts w:ascii="Times New Roman" w:eastAsia="Times New Roman" w:hAnsi="Times New Roman" w:cs="Times New Roman"/>
                <w:spacing w:val="-2"/>
                <w:sz w:val="20"/>
                <w:szCs w:val="20"/>
              </w:rPr>
              <w:t xml:space="preserve"> </w:t>
            </w:r>
            <w:r w:rsidRPr="00732CA0">
              <w:rPr>
                <w:rFonts w:ascii="Times New Roman" w:eastAsia="Times New Roman" w:hAnsi="Times New Roman" w:cs="Times New Roman"/>
                <w:spacing w:val="-2"/>
                <w:sz w:val="20"/>
                <w:szCs w:val="20"/>
              </w:rPr>
              <w:t>cet.</w:t>
            </w:r>
          </w:p>
        </w:tc>
        <w:tc>
          <w:tcPr>
            <w:tcW w:w="992" w:type="dxa"/>
          </w:tcPr>
          <w:p w14:paraId="2F9217DA" w14:textId="77777777" w:rsidR="00F4356A" w:rsidRPr="00732CA0" w:rsidRDefault="00F4356A" w:rsidP="00DC725F">
            <w:pPr>
              <w:ind w:left="-57" w:right="-57"/>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300 darbinieki LNA</w:t>
            </w:r>
          </w:p>
        </w:tc>
      </w:tr>
      <w:tr w:rsidR="00884D6B" w:rsidRPr="00732CA0" w14:paraId="715FA6D4" w14:textId="77777777" w:rsidTr="00DC725F">
        <w:trPr>
          <w:trHeight w:val="273"/>
        </w:trPr>
        <w:tc>
          <w:tcPr>
            <w:tcW w:w="568" w:type="dxa"/>
            <w:vMerge/>
          </w:tcPr>
          <w:p w14:paraId="1AB1032F" w14:textId="77777777" w:rsidR="00F4356A" w:rsidRPr="00732CA0" w:rsidRDefault="00F4356A" w:rsidP="00DC725F">
            <w:pPr>
              <w:jc w:val="center"/>
              <w:rPr>
                <w:rFonts w:ascii="Times New Roman" w:hAnsi="Times New Roman" w:cs="Times New Roman"/>
                <w:iCs/>
                <w:sz w:val="20"/>
                <w:szCs w:val="20"/>
              </w:rPr>
            </w:pPr>
          </w:p>
        </w:tc>
        <w:tc>
          <w:tcPr>
            <w:tcW w:w="1417" w:type="dxa"/>
          </w:tcPr>
          <w:p w14:paraId="13D3EA62" w14:textId="77777777" w:rsidR="00F4356A" w:rsidRPr="00732CA0" w:rsidRDefault="00F4356A" w:rsidP="00DC725F">
            <w:pPr>
              <w:ind w:left="-57" w:right="-57"/>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 xml:space="preserve">5.1.3. IS </w:t>
            </w:r>
            <w:r w:rsidRPr="00732CA0">
              <w:rPr>
                <w:rFonts w:ascii="Times New Roman" w:hAnsi="Times New Roman" w:cs="Times New Roman"/>
                <w:spacing w:val="-2"/>
                <w:sz w:val="20"/>
                <w:szCs w:val="20"/>
              </w:rPr>
              <w:t>"</w:t>
            </w:r>
            <w:r w:rsidRPr="00732CA0">
              <w:rPr>
                <w:rFonts w:ascii="Times New Roman" w:eastAsia="Times New Roman" w:hAnsi="Times New Roman" w:cs="Times New Roman"/>
                <w:spacing w:val="-2"/>
                <w:sz w:val="20"/>
                <w:szCs w:val="20"/>
              </w:rPr>
              <w:t>Mantojums</w:t>
            </w:r>
            <w:r w:rsidRPr="00732CA0">
              <w:rPr>
                <w:rFonts w:ascii="Times New Roman" w:hAnsi="Times New Roman" w:cs="Times New Roman"/>
                <w:spacing w:val="-2"/>
                <w:sz w:val="20"/>
                <w:szCs w:val="20"/>
              </w:rPr>
              <w:t>"</w:t>
            </w:r>
          </w:p>
        </w:tc>
        <w:tc>
          <w:tcPr>
            <w:tcW w:w="3402" w:type="dxa"/>
          </w:tcPr>
          <w:p w14:paraId="43D36FF1" w14:textId="77777777" w:rsidR="00F4356A" w:rsidRPr="00732CA0" w:rsidRDefault="00F4356A" w:rsidP="00DC725F">
            <w:pPr>
              <w:ind w:left="-28" w:right="-28"/>
              <w:rPr>
                <w:rFonts w:ascii="Times New Roman" w:hAnsi="Times New Roman" w:cs="Times New Roman"/>
                <w:iCs/>
                <w:spacing w:val="-2"/>
                <w:sz w:val="20"/>
                <w:szCs w:val="20"/>
              </w:rPr>
            </w:pPr>
            <w:r w:rsidRPr="00732CA0">
              <w:rPr>
                <w:rFonts w:ascii="Times New Roman" w:hAnsi="Times New Roman" w:cs="Times New Roman"/>
                <w:iCs/>
                <w:spacing w:val="-2"/>
                <w:sz w:val="20"/>
                <w:szCs w:val="20"/>
              </w:rPr>
              <w:t xml:space="preserve">IS </w:t>
            </w:r>
            <w:r w:rsidRPr="00732CA0">
              <w:rPr>
                <w:rFonts w:ascii="Times New Roman" w:hAnsi="Times New Roman" w:cs="Times New Roman"/>
                <w:spacing w:val="-2"/>
                <w:sz w:val="20"/>
                <w:szCs w:val="20"/>
              </w:rPr>
              <w:t>"</w:t>
            </w:r>
            <w:r w:rsidRPr="00732CA0">
              <w:rPr>
                <w:rFonts w:ascii="Times New Roman" w:hAnsi="Times New Roman" w:cs="Times New Roman"/>
                <w:iCs/>
                <w:spacing w:val="-2"/>
                <w:sz w:val="20"/>
                <w:szCs w:val="20"/>
              </w:rPr>
              <w:t>Mantojums</w:t>
            </w:r>
            <w:r w:rsidRPr="00732CA0">
              <w:rPr>
                <w:rFonts w:ascii="Times New Roman" w:hAnsi="Times New Roman" w:cs="Times New Roman"/>
                <w:spacing w:val="-2"/>
                <w:sz w:val="20"/>
                <w:szCs w:val="20"/>
              </w:rPr>
              <w:t>"</w:t>
            </w:r>
            <w:r w:rsidRPr="00732CA0">
              <w:rPr>
                <w:rFonts w:ascii="Times New Roman" w:hAnsi="Times New Roman" w:cs="Times New Roman"/>
                <w:iCs/>
                <w:spacing w:val="-2"/>
                <w:sz w:val="20"/>
                <w:szCs w:val="20"/>
              </w:rPr>
              <w:t xml:space="preserve"> ir </w:t>
            </w:r>
            <w:r w:rsidRPr="00732CA0">
              <w:rPr>
                <w:rFonts w:ascii="Times New Roman" w:hAnsi="Times New Roman" w:cs="Times New Roman"/>
                <w:spacing w:val="-2"/>
                <w:sz w:val="20"/>
                <w:szCs w:val="20"/>
              </w:rPr>
              <w:t>"</w:t>
            </w:r>
            <w:r w:rsidRPr="00732CA0">
              <w:rPr>
                <w:rFonts w:ascii="Times New Roman" w:hAnsi="Times New Roman" w:cs="Times New Roman"/>
                <w:iCs/>
                <w:spacing w:val="-2"/>
                <w:sz w:val="20"/>
                <w:szCs w:val="20"/>
              </w:rPr>
              <w:t>centrālais mezgls</w:t>
            </w:r>
            <w:r w:rsidRPr="00732CA0">
              <w:rPr>
                <w:rFonts w:ascii="Times New Roman" w:hAnsi="Times New Roman" w:cs="Times New Roman"/>
                <w:spacing w:val="-2"/>
                <w:sz w:val="20"/>
                <w:szCs w:val="20"/>
              </w:rPr>
              <w:t>"</w:t>
            </w:r>
            <w:r w:rsidRPr="00732CA0">
              <w:rPr>
                <w:rFonts w:ascii="Times New Roman" w:hAnsi="Times New Roman" w:cs="Times New Roman"/>
                <w:iCs/>
                <w:spacing w:val="-2"/>
                <w:sz w:val="20"/>
                <w:szCs w:val="20"/>
              </w:rPr>
              <w:t xml:space="preserve"> pieminekļu un kultūrvēsturiski nozīmīgu objektu elektroniskās informācijas uzkrāšanas, aprites, pārvaldības un dažādu ieinteresēto pušu sadarbībai. </w:t>
            </w:r>
          </w:p>
          <w:p w14:paraId="217A4F30" w14:textId="77777777" w:rsidR="00F4356A" w:rsidRPr="00732CA0" w:rsidRDefault="00F4356A" w:rsidP="00DC725F">
            <w:pPr>
              <w:ind w:left="-28" w:right="-28"/>
              <w:rPr>
                <w:rFonts w:ascii="Times New Roman" w:hAnsi="Times New Roman" w:cs="Times New Roman"/>
                <w:iCs/>
                <w:spacing w:val="-2"/>
                <w:sz w:val="20"/>
                <w:szCs w:val="20"/>
              </w:rPr>
            </w:pPr>
            <w:r w:rsidRPr="00732CA0">
              <w:rPr>
                <w:rFonts w:ascii="Times New Roman" w:hAnsi="Times New Roman" w:cs="Times New Roman"/>
                <w:iCs/>
                <w:spacing w:val="-2"/>
                <w:sz w:val="20"/>
                <w:szCs w:val="20"/>
              </w:rPr>
              <w:t>Plānotā pilnveide:</w:t>
            </w:r>
          </w:p>
          <w:p w14:paraId="6C3CA7B9" w14:textId="77777777" w:rsidR="00F4356A" w:rsidRPr="00732CA0" w:rsidRDefault="00F4356A" w:rsidP="00DC725F">
            <w:pPr>
              <w:ind w:left="311" w:right="-28" w:hanging="198"/>
              <w:rPr>
                <w:rFonts w:ascii="Times New Roman" w:hAnsi="Times New Roman" w:cs="Times New Roman"/>
                <w:iCs/>
                <w:spacing w:val="-2"/>
                <w:sz w:val="20"/>
                <w:szCs w:val="20"/>
              </w:rPr>
            </w:pPr>
            <w:r w:rsidRPr="00732CA0">
              <w:rPr>
                <w:rFonts w:ascii="Times New Roman" w:hAnsi="Times New Roman" w:cs="Times New Roman"/>
                <w:iCs/>
                <w:spacing w:val="-2"/>
                <w:sz w:val="20"/>
                <w:szCs w:val="20"/>
              </w:rPr>
              <w:t>1) tiešsaistes pakalpojumu pilnveidošana un attīstība, vienkāršojot dokumentu un atļauju iegūšanas un sagatavošanas procesu;</w:t>
            </w:r>
          </w:p>
          <w:p w14:paraId="6DFB4264" w14:textId="77777777" w:rsidR="00F4356A" w:rsidRPr="00732CA0" w:rsidRDefault="00F4356A" w:rsidP="00DC725F">
            <w:pPr>
              <w:ind w:left="311" w:right="-28" w:hanging="198"/>
              <w:rPr>
                <w:rFonts w:ascii="Times New Roman" w:hAnsi="Times New Roman" w:cs="Times New Roman"/>
                <w:iCs/>
                <w:spacing w:val="-2"/>
                <w:sz w:val="20"/>
                <w:szCs w:val="20"/>
              </w:rPr>
            </w:pPr>
            <w:r w:rsidRPr="00732CA0">
              <w:rPr>
                <w:rFonts w:ascii="Times New Roman" w:hAnsi="Times New Roman" w:cs="Times New Roman"/>
                <w:iCs/>
                <w:spacing w:val="-2"/>
                <w:sz w:val="20"/>
                <w:szCs w:val="20"/>
              </w:rPr>
              <w:t>2) kultūras vērtību apdraudējuma digitālā monitoringa (</w:t>
            </w:r>
            <w:r w:rsidRPr="00732CA0">
              <w:rPr>
                <w:rFonts w:ascii="Times New Roman" w:eastAsia="Times New Roman" w:hAnsi="Times New Roman" w:cs="Times New Roman"/>
                <w:spacing w:val="-2"/>
                <w:sz w:val="20"/>
                <w:szCs w:val="20"/>
              </w:rPr>
              <w:t xml:space="preserve">tai skaitā </w:t>
            </w:r>
            <w:r w:rsidRPr="00732CA0">
              <w:rPr>
                <w:rFonts w:ascii="Times New Roman" w:hAnsi="Times New Roman" w:cs="Times New Roman"/>
                <w:iCs/>
                <w:spacing w:val="-2"/>
                <w:sz w:val="20"/>
                <w:szCs w:val="20"/>
              </w:rPr>
              <w:t>sasaistē ar sabiedrības aktivitātēm) izveide;</w:t>
            </w:r>
          </w:p>
          <w:p w14:paraId="5B2EDC9B" w14:textId="77777777" w:rsidR="00F4356A" w:rsidRPr="00732CA0" w:rsidRDefault="00F4356A" w:rsidP="00DC725F">
            <w:pPr>
              <w:ind w:left="311" w:right="-28" w:hanging="198"/>
              <w:rPr>
                <w:rFonts w:ascii="Times New Roman" w:hAnsi="Times New Roman" w:cs="Times New Roman"/>
                <w:iCs/>
                <w:spacing w:val="-2"/>
                <w:sz w:val="20"/>
                <w:szCs w:val="20"/>
                <w:highlight w:val="yellow"/>
              </w:rPr>
            </w:pPr>
            <w:r w:rsidRPr="00732CA0">
              <w:rPr>
                <w:rFonts w:ascii="Times New Roman" w:hAnsi="Times New Roman" w:cs="Times New Roman"/>
                <w:iCs/>
                <w:spacing w:val="-2"/>
                <w:sz w:val="20"/>
                <w:szCs w:val="20"/>
              </w:rPr>
              <w:t>3)</w:t>
            </w:r>
            <w:r w:rsidRPr="00732CA0">
              <w:rPr>
                <w:rFonts w:ascii="Times New Roman" w:hAnsi="Times New Roman" w:cs="Times New Roman"/>
                <w:spacing w:val="-2"/>
              </w:rPr>
              <w:t> </w:t>
            </w:r>
            <w:r w:rsidRPr="00732CA0">
              <w:rPr>
                <w:rFonts w:ascii="Times New Roman" w:hAnsi="Times New Roman" w:cs="Times New Roman"/>
                <w:iCs/>
                <w:spacing w:val="-2"/>
                <w:sz w:val="20"/>
                <w:szCs w:val="20"/>
              </w:rPr>
              <w:t xml:space="preserve">kultūras pieminekļu izpētes, konservācijas un restaurācijas plānošanas un izpildes atbalsta process; </w:t>
            </w:r>
          </w:p>
          <w:p w14:paraId="2FD1FDE7" w14:textId="77777777" w:rsidR="00F4356A" w:rsidRPr="00732CA0" w:rsidRDefault="00F4356A" w:rsidP="00DC725F">
            <w:pPr>
              <w:ind w:left="311" w:right="-28" w:hanging="198"/>
              <w:rPr>
                <w:rFonts w:ascii="Times New Roman" w:hAnsi="Times New Roman" w:cs="Times New Roman"/>
                <w:spacing w:val="-2"/>
                <w:sz w:val="20"/>
                <w:szCs w:val="20"/>
              </w:rPr>
            </w:pPr>
            <w:r w:rsidRPr="00732CA0">
              <w:rPr>
                <w:rFonts w:ascii="Times New Roman" w:hAnsi="Times New Roman" w:cs="Times New Roman"/>
                <w:spacing w:val="-2"/>
                <w:sz w:val="20"/>
                <w:szCs w:val="20"/>
              </w:rPr>
              <w:t>4</w:t>
            </w:r>
            <w:r w:rsidRPr="00732CA0">
              <w:rPr>
                <w:rFonts w:ascii="Times New Roman" w:hAnsi="Times New Roman" w:cs="Times New Roman"/>
                <w:iCs/>
                <w:spacing w:val="-2"/>
                <w:sz w:val="20"/>
                <w:szCs w:val="20"/>
              </w:rPr>
              <w:t>)</w:t>
            </w:r>
            <w:r w:rsidRPr="00732CA0">
              <w:rPr>
                <w:rFonts w:ascii="Times New Roman" w:hAnsi="Times New Roman" w:cs="Times New Roman"/>
                <w:spacing w:val="-2"/>
                <w:sz w:val="20"/>
                <w:szCs w:val="20"/>
              </w:rPr>
              <w:t> ar jaunām tehnoloģijām (3D, ģeofizikālā izpēte ar radiolokācijas metodi, batimetrija, fotogrammetrija, tālizpēte, monitorings u. c.) iegūto kultūras mantojuma dokumentēšanas datu uzkrāšanas, pārvaldības un izplatīšanas risinājums;</w:t>
            </w:r>
          </w:p>
          <w:p w14:paraId="2606475C" w14:textId="77777777" w:rsidR="00F4356A" w:rsidRPr="00732CA0" w:rsidRDefault="00F4356A" w:rsidP="00DC725F">
            <w:pPr>
              <w:ind w:left="311" w:right="-28" w:hanging="198"/>
              <w:rPr>
                <w:rFonts w:ascii="Times New Roman" w:hAnsi="Times New Roman" w:cs="Times New Roman"/>
                <w:iCs/>
                <w:spacing w:val="-2"/>
                <w:sz w:val="20"/>
                <w:szCs w:val="20"/>
              </w:rPr>
            </w:pPr>
            <w:r w:rsidRPr="00732CA0">
              <w:rPr>
                <w:rFonts w:ascii="Times New Roman" w:hAnsi="Times New Roman" w:cs="Times New Roman"/>
                <w:iCs/>
                <w:spacing w:val="-2"/>
                <w:sz w:val="20"/>
                <w:szCs w:val="20"/>
              </w:rPr>
              <w:t>5) </w:t>
            </w:r>
            <w:r w:rsidRPr="00732CA0">
              <w:rPr>
                <w:rFonts w:ascii="Times New Roman" w:hAnsi="Times New Roman" w:cs="Times New Roman"/>
                <w:iCs/>
                <w:sz w:val="20"/>
                <w:szCs w:val="20"/>
              </w:rPr>
              <w:t>uz precīziem objektu dokumentēšanas</w:t>
            </w:r>
            <w:r w:rsidRPr="00732CA0">
              <w:rPr>
                <w:rFonts w:ascii="Times New Roman" w:hAnsi="Times New Roman" w:cs="Times New Roman"/>
                <w:iCs/>
                <w:spacing w:val="-2"/>
                <w:sz w:val="20"/>
                <w:szCs w:val="20"/>
              </w:rPr>
              <w:t xml:space="preserve"> datiem balstītas vizuālās modelēšanas un digitālās rekonstrukcijas atbalsta risinājuma izstrāde;</w:t>
            </w:r>
          </w:p>
          <w:p w14:paraId="59EC4FFD" w14:textId="77777777" w:rsidR="00F4356A" w:rsidRPr="00732CA0" w:rsidRDefault="00F4356A" w:rsidP="00DC725F">
            <w:pPr>
              <w:ind w:left="311" w:right="-28" w:hanging="198"/>
              <w:rPr>
                <w:rFonts w:ascii="Times New Roman" w:eastAsia="Times New Roman" w:hAnsi="Times New Roman" w:cs="Times New Roman"/>
                <w:spacing w:val="-2"/>
                <w:sz w:val="20"/>
                <w:szCs w:val="20"/>
                <w:highlight w:val="yellow"/>
              </w:rPr>
            </w:pPr>
            <w:r w:rsidRPr="00732CA0">
              <w:rPr>
                <w:rFonts w:ascii="Times New Roman" w:hAnsi="Times New Roman" w:cs="Times New Roman"/>
                <w:iCs/>
                <w:spacing w:val="-2"/>
                <w:sz w:val="20"/>
                <w:szCs w:val="20"/>
              </w:rPr>
              <w:t>6) integrācija ar BIS</w:t>
            </w:r>
          </w:p>
        </w:tc>
        <w:tc>
          <w:tcPr>
            <w:tcW w:w="851" w:type="dxa"/>
          </w:tcPr>
          <w:p w14:paraId="59C58642"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Jā, LNB</w:t>
            </w:r>
          </w:p>
        </w:tc>
        <w:tc>
          <w:tcPr>
            <w:tcW w:w="1134" w:type="dxa"/>
          </w:tcPr>
          <w:p w14:paraId="09BC7AA8"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2023. gada I cet.</w:t>
            </w:r>
          </w:p>
        </w:tc>
        <w:tc>
          <w:tcPr>
            <w:tcW w:w="992" w:type="dxa"/>
          </w:tcPr>
          <w:p w14:paraId="1EBA28FE" w14:textId="77777777" w:rsidR="00F4356A" w:rsidRPr="00732CA0" w:rsidRDefault="00F4356A" w:rsidP="00DC725F">
            <w:pPr>
              <w:ind w:left="-57" w:right="-57"/>
              <w:jc w:val="center"/>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2025. gada IV cet.</w:t>
            </w:r>
          </w:p>
        </w:tc>
        <w:tc>
          <w:tcPr>
            <w:tcW w:w="992" w:type="dxa"/>
          </w:tcPr>
          <w:p w14:paraId="66C36752" w14:textId="77777777" w:rsidR="00F4356A" w:rsidRPr="00732CA0" w:rsidRDefault="00F4356A" w:rsidP="00DC725F">
            <w:pPr>
              <w:ind w:left="-57" w:right="-57"/>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100 darbinieki NKMP</w:t>
            </w:r>
          </w:p>
        </w:tc>
      </w:tr>
      <w:tr w:rsidR="00884D6B" w:rsidRPr="00732CA0" w14:paraId="31057DA7" w14:textId="77777777" w:rsidTr="00DC725F">
        <w:trPr>
          <w:trHeight w:val="273"/>
        </w:trPr>
        <w:tc>
          <w:tcPr>
            <w:tcW w:w="568" w:type="dxa"/>
            <w:vMerge/>
          </w:tcPr>
          <w:p w14:paraId="7D8FFE62" w14:textId="77777777" w:rsidR="00F4356A" w:rsidRPr="00732CA0" w:rsidRDefault="00F4356A" w:rsidP="00DC725F">
            <w:pPr>
              <w:jc w:val="center"/>
              <w:rPr>
                <w:rFonts w:ascii="Times New Roman" w:hAnsi="Times New Roman" w:cs="Times New Roman"/>
                <w:iCs/>
                <w:sz w:val="20"/>
                <w:szCs w:val="20"/>
              </w:rPr>
            </w:pPr>
          </w:p>
        </w:tc>
        <w:tc>
          <w:tcPr>
            <w:tcW w:w="1417" w:type="dxa"/>
          </w:tcPr>
          <w:p w14:paraId="181F010C" w14:textId="77777777" w:rsidR="00F4356A" w:rsidRPr="00732CA0" w:rsidRDefault="00F4356A" w:rsidP="00DC725F">
            <w:pPr>
              <w:ind w:left="-57" w:right="-57"/>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5.1.4. Vienotais bibliotēku kopkatalogs</w:t>
            </w:r>
          </w:p>
        </w:tc>
        <w:tc>
          <w:tcPr>
            <w:tcW w:w="3402" w:type="dxa"/>
          </w:tcPr>
          <w:p w14:paraId="7877DE2E" w14:textId="77777777" w:rsidR="00F4356A" w:rsidRPr="00732CA0" w:rsidRDefault="00F4356A" w:rsidP="00DC725F">
            <w:pPr>
              <w:ind w:left="-28" w:right="-28"/>
              <w:rPr>
                <w:rFonts w:ascii="Times New Roman" w:eastAsia="Times New Roman" w:hAnsi="Times New Roman" w:cs="Times New Roman"/>
                <w:spacing w:val="-2"/>
                <w:sz w:val="20"/>
                <w:szCs w:val="20"/>
                <w:highlight w:val="yellow"/>
              </w:rPr>
            </w:pPr>
            <w:r w:rsidRPr="00732CA0">
              <w:rPr>
                <w:rFonts w:ascii="Times New Roman" w:eastAsia="Times New Roman" w:hAnsi="Times New Roman" w:cs="Times New Roman"/>
                <w:spacing w:val="-2"/>
                <w:sz w:val="20"/>
                <w:szCs w:val="20"/>
              </w:rPr>
              <w:t>Šobrīd bibliotēku nozarē ir sadrumstalota datu pārvaldība (dažādi kopkatalogi, vairāki lasītāju reģistri), ko papildus ietekmē administratīvi teritoriālās reformas (ATR) sekas. Lai uzlabotu datu pārvaldību,</w:t>
            </w:r>
            <w:r w:rsidRPr="00732CA0">
              <w:rPr>
                <w:rFonts w:ascii="Times New Roman" w:hAnsi="Times New Roman" w:cs="Times New Roman"/>
                <w:spacing w:val="-2"/>
                <w:sz w:val="20"/>
                <w:szCs w:val="20"/>
              </w:rPr>
              <w:t xml:space="preserve"> </w:t>
            </w:r>
            <w:r w:rsidRPr="00732CA0">
              <w:rPr>
                <w:rFonts w:ascii="Times New Roman" w:eastAsia="Times New Roman" w:hAnsi="Times New Roman" w:cs="Times New Roman"/>
                <w:spacing w:val="-2"/>
                <w:sz w:val="20"/>
                <w:szCs w:val="20"/>
              </w:rPr>
              <w:t>nozare vienojās veidot vienotu kopkatalogu, apvienojot esošos bibliogrāfiskos datus (valsts nozīmes un publisko bibliotēku katalogi), tai skaitā eksemplāru ziņas, un administratīvi vienojoties par datu pārvaldības principiem. Pēc kopkataloga izveides tiks atrisināta eksemplāru piederība pēc ATR. Papildus tiks izveidots vienotais lasītāju reģistrs un veikta sistēmu sasaiste ar ATS.</w:t>
            </w:r>
          </w:p>
          <w:p w14:paraId="29938D16" w14:textId="77777777" w:rsidR="00F4356A" w:rsidRPr="00732CA0" w:rsidRDefault="00F4356A" w:rsidP="00DC725F">
            <w:pPr>
              <w:ind w:left="-28" w:right="-28"/>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 xml:space="preserve">Risinājums tiks veidots kā lietojumprogrammu saskarņu (API) servisos bāzēts atvērts datu katalogs, kas neierobežos pieslēguma izveidi datu apmaiņai no jebkuras bibliotēku sistēmas. Tiks izveidota datu </w:t>
            </w:r>
            <w:proofErr w:type="spellStart"/>
            <w:r w:rsidRPr="00732CA0">
              <w:rPr>
                <w:rFonts w:ascii="Times New Roman" w:eastAsia="Times New Roman" w:hAnsi="Times New Roman" w:cs="Times New Roman"/>
                <w:spacing w:val="-2"/>
                <w:sz w:val="20"/>
                <w:szCs w:val="20"/>
              </w:rPr>
              <w:t>versionēšana</w:t>
            </w:r>
            <w:proofErr w:type="spellEnd"/>
            <w:r w:rsidRPr="00732CA0">
              <w:rPr>
                <w:rFonts w:ascii="Times New Roman" w:eastAsia="Times New Roman" w:hAnsi="Times New Roman" w:cs="Times New Roman"/>
                <w:spacing w:val="-2"/>
                <w:sz w:val="20"/>
                <w:szCs w:val="20"/>
              </w:rPr>
              <w:t>, uzlabota datu pārvaldības drošība.</w:t>
            </w:r>
          </w:p>
          <w:p w14:paraId="1C9860EF" w14:textId="77777777" w:rsidR="00F4356A" w:rsidRPr="00732CA0" w:rsidRDefault="00F4356A" w:rsidP="00DC725F">
            <w:pPr>
              <w:ind w:left="-28" w:right="-28"/>
              <w:rPr>
                <w:rFonts w:ascii="Times New Roman" w:eastAsia="Times New Roman" w:hAnsi="Times New Roman" w:cs="Times New Roman"/>
                <w:spacing w:val="-2"/>
                <w:sz w:val="20"/>
                <w:szCs w:val="20"/>
                <w:highlight w:val="yellow"/>
              </w:rPr>
            </w:pPr>
            <w:r w:rsidRPr="00732CA0">
              <w:rPr>
                <w:rFonts w:ascii="Times New Roman" w:eastAsia="Times New Roman" w:hAnsi="Times New Roman" w:cs="Times New Roman"/>
                <w:spacing w:val="-2"/>
                <w:sz w:val="20"/>
                <w:szCs w:val="20"/>
              </w:rPr>
              <w:t xml:space="preserve">Uz LNB vienotā konta bāzes tiks veidots vienotais lasītāju reģistrs, kas būs saslēgts ar platformas Latvija.lv Vienotās </w:t>
            </w:r>
            <w:r w:rsidRPr="00732CA0">
              <w:rPr>
                <w:rFonts w:ascii="Times New Roman" w:eastAsia="Times New Roman" w:hAnsi="Times New Roman" w:cs="Times New Roman"/>
                <w:spacing w:val="-2"/>
                <w:sz w:val="20"/>
                <w:szCs w:val="20"/>
              </w:rPr>
              <w:lastRenderedPageBreak/>
              <w:t>pieteikšanās moduli, tādā veidā uzlabojot lietotāju pieredzi un nodrošinot lielāku drošību</w:t>
            </w:r>
          </w:p>
        </w:tc>
        <w:tc>
          <w:tcPr>
            <w:tcW w:w="851" w:type="dxa"/>
          </w:tcPr>
          <w:p w14:paraId="1CCB5F6F"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lastRenderedPageBreak/>
              <w:t>Jā, LNB</w:t>
            </w:r>
          </w:p>
        </w:tc>
        <w:tc>
          <w:tcPr>
            <w:tcW w:w="1134" w:type="dxa"/>
          </w:tcPr>
          <w:p w14:paraId="4118D80D"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2023. gada I cet.</w:t>
            </w:r>
          </w:p>
        </w:tc>
        <w:tc>
          <w:tcPr>
            <w:tcW w:w="992" w:type="dxa"/>
          </w:tcPr>
          <w:p w14:paraId="7125436F" w14:textId="77777777" w:rsidR="00F4356A" w:rsidRPr="00732CA0" w:rsidRDefault="00F4356A" w:rsidP="00DC725F">
            <w:pPr>
              <w:ind w:left="-57" w:right="-57"/>
              <w:jc w:val="center"/>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2026. gada II cet.</w:t>
            </w:r>
          </w:p>
        </w:tc>
        <w:tc>
          <w:tcPr>
            <w:tcW w:w="992" w:type="dxa"/>
          </w:tcPr>
          <w:p w14:paraId="3D98FBED" w14:textId="77777777" w:rsidR="00F4356A" w:rsidRPr="00732CA0" w:rsidRDefault="00F4356A" w:rsidP="00DC725F">
            <w:pPr>
              <w:ind w:left="-57" w:right="-57"/>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50 bibliotēkas</w:t>
            </w:r>
          </w:p>
        </w:tc>
      </w:tr>
    </w:tbl>
    <w:p w14:paraId="3AB23F3E" w14:textId="77777777" w:rsidR="00F4356A" w:rsidRPr="00732CA0" w:rsidRDefault="00F4356A" w:rsidP="00F4356A">
      <w:pPr>
        <w:spacing w:after="0" w:line="240" w:lineRule="auto"/>
        <w:rPr>
          <w:rFonts w:ascii="Times New Roman" w:eastAsia="Times New Roman" w:hAnsi="Times New Roman" w:cs="Times New Roman"/>
          <w:bCs/>
          <w:sz w:val="20"/>
          <w:szCs w:val="20"/>
        </w:rPr>
      </w:pPr>
    </w:p>
    <w:p w14:paraId="6331039D" w14:textId="77777777" w:rsidR="00F4356A" w:rsidRPr="00732CA0" w:rsidRDefault="00F4356A" w:rsidP="00F4356A">
      <w:pPr>
        <w:spacing w:after="60" w:line="240" w:lineRule="auto"/>
        <w:rPr>
          <w:rFonts w:ascii="Times New Roman" w:eastAsia="Times New Roman" w:hAnsi="Times New Roman" w:cs="Times New Roman"/>
          <w:b/>
        </w:rPr>
      </w:pPr>
      <w:r w:rsidRPr="00732CA0">
        <w:rPr>
          <w:rFonts w:ascii="Times New Roman" w:eastAsia="Times New Roman" w:hAnsi="Times New Roman" w:cs="Times New Roman"/>
          <w:b/>
        </w:rPr>
        <w:t>5.2. Centralizētās funkcijas vai koplietošanas pakalpojumi</w:t>
      </w:r>
    </w:p>
    <w:tbl>
      <w:tblPr>
        <w:tblStyle w:val="TableGrid"/>
        <w:tblW w:w="9356" w:type="dxa"/>
        <w:tblInd w:w="-147" w:type="dxa"/>
        <w:tblLayout w:type="fixed"/>
        <w:tblLook w:val="04A0" w:firstRow="1" w:lastRow="0" w:firstColumn="1" w:lastColumn="0" w:noHBand="0" w:noVBand="1"/>
      </w:tblPr>
      <w:tblGrid>
        <w:gridCol w:w="635"/>
        <w:gridCol w:w="2835"/>
        <w:gridCol w:w="2324"/>
        <w:gridCol w:w="2003"/>
        <w:gridCol w:w="1559"/>
      </w:tblGrid>
      <w:tr w:rsidR="00884D6B" w:rsidRPr="00732CA0" w14:paraId="16DBC89C" w14:textId="77777777" w:rsidTr="00DC725F">
        <w:trPr>
          <w:cantSplit/>
        </w:trPr>
        <w:tc>
          <w:tcPr>
            <w:tcW w:w="635" w:type="dxa"/>
            <w:vAlign w:val="center"/>
          </w:tcPr>
          <w:p w14:paraId="6A6492EC" w14:textId="77777777" w:rsidR="00F4356A" w:rsidRPr="00732CA0" w:rsidRDefault="00F4356A" w:rsidP="00DC725F">
            <w:pPr>
              <w:ind w:left="-57" w:right="-57"/>
              <w:jc w:val="center"/>
              <w:rPr>
                <w:rFonts w:ascii="Times New Roman" w:eastAsia="Times New Roman" w:hAnsi="Times New Roman" w:cs="Times New Roman"/>
                <w:spacing w:val="-2"/>
                <w:sz w:val="20"/>
                <w:szCs w:val="20"/>
              </w:rPr>
            </w:pPr>
            <w:r w:rsidRPr="00732CA0">
              <w:rPr>
                <w:rFonts w:ascii="Times New Roman" w:eastAsia="Times New Roman" w:hAnsi="Times New Roman" w:cs="Times New Roman"/>
                <w:spacing w:val="-2"/>
                <w:sz w:val="20"/>
                <w:szCs w:val="20"/>
              </w:rPr>
              <w:t>Skaits</w:t>
            </w:r>
          </w:p>
        </w:tc>
        <w:tc>
          <w:tcPr>
            <w:tcW w:w="2835" w:type="dxa"/>
            <w:vAlign w:val="center"/>
          </w:tcPr>
          <w:p w14:paraId="2F654F5D"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Pakalpojums (pakalpojumu grupa)</w:t>
            </w:r>
          </w:p>
        </w:tc>
        <w:tc>
          <w:tcPr>
            <w:tcW w:w="2324" w:type="dxa"/>
            <w:vAlign w:val="center"/>
          </w:tcPr>
          <w:p w14:paraId="5CA25E47"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Koplietošanas pakalpojumu lietotāji (institūcijas)</w:t>
            </w:r>
          </w:p>
        </w:tc>
        <w:tc>
          <w:tcPr>
            <w:tcW w:w="2003" w:type="dxa"/>
            <w:vAlign w:val="center"/>
          </w:tcPr>
          <w:p w14:paraId="5C07AC2C"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Norāde uz Ministru kabineta lēmumu par attīstības plānu</w:t>
            </w:r>
            <w:r w:rsidRPr="00732CA0">
              <w:rPr>
                <w:rStyle w:val="FootnoteReference"/>
                <w:rFonts w:ascii="Times New Roman" w:eastAsia="Times New Roman" w:hAnsi="Times New Roman" w:cs="Times New Roman"/>
                <w:sz w:val="20"/>
                <w:szCs w:val="20"/>
              </w:rPr>
              <w:footnoteReference w:id="9"/>
            </w:r>
          </w:p>
        </w:tc>
        <w:tc>
          <w:tcPr>
            <w:tcW w:w="1559" w:type="dxa"/>
            <w:vAlign w:val="center"/>
          </w:tcPr>
          <w:p w14:paraId="2D6500C8"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Termiņš ieviešanai (gads, ceturksnis)</w:t>
            </w:r>
          </w:p>
        </w:tc>
      </w:tr>
      <w:tr w:rsidR="00884D6B" w:rsidRPr="00732CA0" w14:paraId="1B99B243" w14:textId="77777777" w:rsidTr="00DC725F">
        <w:trPr>
          <w:trHeight w:val="303"/>
        </w:trPr>
        <w:tc>
          <w:tcPr>
            <w:tcW w:w="635" w:type="dxa"/>
          </w:tcPr>
          <w:p w14:paraId="08ABB4E2" w14:textId="77777777" w:rsidR="00F4356A" w:rsidRPr="00732CA0" w:rsidRDefault="00F4356A" w:rsidP="00DC725F">
            <w:pPr>
              <w:rPr>
                <w:rFonts w:ascii="Times New Roman" w:eastAsia="Times New Roman" w:hAnsi="Times New Roman" w:cs="Times New Roman"/>
                <w:iCs/>
                <w:sz w:val="20"/>
                <w:szCs w:val="20"/>
              </w:rPr>
            </w:pPr>
          </w:p>
        </w:tc>
        <w:tc>
          <w:tcPr>
            <w:tcW w:w="2835" w:type="dxa"/>
          </w:tcPr>
          <w:p w14:paraId="3E46FC06" w14:textId="77777777" w:rsidR="00F4356A" w:rsidRPr="00732CA0" w:rsidRDefault="00F4356A" w:rsidP="00DC725F">
            <w:pPr>
              <w:jc w:val="both"/>
              <w:rPr>
                <w:rFonts w:ascii="Times New Roman" w:eastAsia="Times New Roman" w:hAnsi="Times New Roman" w:cs="Times New Roman"/>
                <w:iCs/>
                <w:sz w:val="20"/>
                <w:szCs w:val="20"/>
              </w:rPr>
            </w:pPr>
            <w:r w:rsidRPr="00732CA0">
              <w:rPr>
                <w:rFonts w:ascii="Times New Roman" w:eastAsia="Times New Roman" w:hAnsi="Times New Roman" w:cs="Times New Roman"/>
                <w:iCs/>
                <w:sz w:val="20"/>
                <w:szCs w:val="20"/>
              </w:rPr>
              <w:t>n/a</w:t>
            </w:r>
          </w:p>
        </w:tc>
        <w:tc>
          <w:tcPr>
            <w:tcW w:w="2324" w:type="dxa"/>
          </w:tcPr>
          <w:p w14:paraId="443F3551" w14:textId="77777777" w:rsidR="00F4356A" w:rsidRPr="00732CA0" w:rsidRDefault="00F4356A" w:rsidP="00DC725F">
            <w:pPr>
              <w:jc w:val="both"/>
              <w:rPr>
                <w:rFonts w:ascii="Times New Roman" w:eastAsia="Times New Roman" w:hAnsi="Times New Roman" w:cs="Times New Roman"/>
                <w:iCs/>
                <w:sz w:val="20"/>
                <w:szCs w:val="20"/>
              </w:rPr>
            </w:pPr>
          </w:p>
        </w:tc>
        <w:tc>
          <w:tcPr>
            <w:tcW w:w="2003" w:type="dxa"/>
          </w:tcPr>
          <w:p w14:paraId="47ED34AC" w14:textId="77777777" w:rsidR="00F4356A" w:rsidRPr="00732CA0" w:rsidRDefault="00F4356A" w:rsidP="00DC725F">
            <w:pPr>
              <w:jc w:val="both"/>
              <w:rPr>
                <w:rFonts w:ascii="Times New Roman" w:eastAsia="Times New Roman" w:hAnsi="Times New Roman" w:cs="Times New Roman"/>
                <w:iCs/>
                <w:sz w:val="20"/>
                <w:szCs w:val="20"/>
              </w:rPr>
            </w:pPr>
          </w:p>
        </w:tc>
        <w:tc>
          <w:tcPr>
            <w:tcW w:w="1559" w:type="dxa"/>
          </w:tcPr>
          <w:p w14:paraId="720A98ED" w14:textId="77777777" w:rsidR="00F4356A" w:rsidRPr="00732CA0" w:rsidRDefault="00F4356A" w:rsidP="00DC725F">
            <w:pPr>
              <w:jc w:val="both"/>
              <w:rPr>
                <w:rFonts w:ascii="Times New Roman" w:eastAsia="Times New Roman" w:hAnsi="Times New Roman" w:cs="Times New Roman"/>
                <w:iCs/>
                <w:sz w:val="20"/>
                <w:szCs w:val="20"/>
              </w:rPr>
            </w:pPr>
          </w:p>
        </w:tc>
      </w:tr>
    </w:tbl>
    <w:p w14:paraId="7258790C" w14:textId="77777777" w:rsidR="00F4356A" w:rsidRPr="00732CA0" w:rsidRDefault="00F4356A" w:rsidP="00F4356A">
      <w:pPr>
        <w:spacing w:after="0" w:line="240" w:lineRule="auto"/>
        <w:rPr>
          <w:rFonts w:ascii="Times New Roman" w:eastAsia="Times New Roman" w:hAnsi="Times New Roman" w:cs="Times New Roman"/>
          <w:bCs/>
          <w:sz w:val="20"/>
          <w:szCs w:val="20"/>
        </w:rPr>
      </w:pPr>
    </w:p>
    <w:p w14:paraId="4728B0DA" w14:textId="77777777" w:rsidR="00F4356A" w:rsidRPr="00732CA0" w:rsidRDefault="00F4356A" w:rsidP="00F4356A">
      <w:pPr>
        <w:spacing w:after="60" w:line="240" w:lineRule="auto"/>
        <w:rPr>
          <w:rFonts w:ascii="Times New Roman" w:eastAsia="Times New Roman" w:hAnsi="Times New Roman" w:cs="Times New Roman"/>
          <w:b/>
        </w:rPr>
      </w:pPr>
      <w:r w:rsidRPr="00732CA0">
        <w:rPr>
          <w:rFonts w:ascii="Times New Roman" w:eastAsia="Times New Roman" w:hAnsi="Times New Roman" w:cs="Times New Roman"/>
          <w:b/>
        </w:rPr>
        <w:t>5.3. Centralizēti pārvaldāmās nozares būtiskās datu kopas</w:t>
      </w:r>
    </w:p>
    <w:tbl>
      <w:tblPr>
        <w:tblStyle w:val="TableGrid"/>
        <w:tblW w:w="9356" w:type="dxa"/>
        <w:tblInd w:w="-147" w:type="dxa"/>
        <w:tblLook w:val="04A0" w:firstRow="1" w:lastRow="0" w:firstColumn="1" w:lastColumn="0" w:noHBand="0" w:noVBand="1"/>
      </w:tblPr>
      <w:tblGrid>
        <w:gridCol w:w="636"/>
        <w:gridCol w:w="5602"/>
        <w:gridCol w:w="3118"/>
      </w:tblGrid>
      <w:tr w:rsidR="00884D6B" w:rsidRPr="00732CA0" w14:paraId="526569CA" w14:textId="77777777" w:rsidTr="00DC725F">
        <w:trPr>
          <w:cantSplit/>
        </w:trPr>
        <w:tc>
          <w:tcPr>
            <w:tcW w:w="636" w:type="dxa"/>
            <w:vAlign w:val="center"/>
          </w:tcPr>
          <w:p w14:paraId="7F157FD2" w14:textId="77777777" w:rsidR="00F4356A" w:rsidRPr="00732CA0" w:rsidRDefault="00F4356A" w:rsidP="00DC725F">
            <w:pPr>
              <w:ind w:left="-57" w:right="-57"/>
              <w:jc w:val="both"/>
              <w:rPr>
                <w:rFonts w:ascii="Times New Roman" w:eastAsia="Times New Roman" w:hAnsi="Times New Roman" w:cs="Times New Roman"/>
                <w:spacing w:val="-2"/>
                <w:sz w:val="16"/>
                <w:szCs w:val="16"/>
              </w:rPr>
            </w:pPr>
            <w:r w:rsidRPr="00732CA0">
              <w:rPr>
                <w:rFonts w:ascii="Times New Roman" w:eastAsia="Times New Roman" w:hAnsi="Times New Roman" w:cs="Times New Roman"/>
                <w:spacing w:val="-2"/>
                <w:sz w:val="20"/>
                <w:szCs w:val="20"/>
              </w:rPr>
              <w:t>Skaits</w:t>
            </w:r>
          </w:p>
        </w:tc>
        <w:tc>
          <w:tcPr>
            <w:tcW w:w="5602" w:type="dxa"/>
            <w:tcBorders>
              <w:top w:val="single" w:sz="4" w:space="0" w:color="auto"/>
              <w:left w:val="single" w:sz="4" w:space="0" w:color="auto"/>
              <w:bottom w:val="single" w:sz="4" w:space="0" w:color="auto"/>
              <w:right w:val="single" w:sz="4" w:space="0" w:color="auto"/>
            </w:tcBorders>
            <w:vAlign w:val="center"/>
          </w:tcPr>
          <w:p w14:paraId="76D59951"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Saturu raksturojošs nosaukums</w:t>
            </w:r>
          </w:p>
        </w:tc>
        <w:tc>
          <w:tcPr>
            <w:tcW w:w="3118" w:type="dxa"/>
            <w:tcBorders>
              <w:top w:val="single" w:sz="4" w:space="0" w:color="auto"/>
              <w:left w:val="nil"/>
              <w:bottom w:val="single" w:sz="4" w:space="0" w:color="auto"/>
              <w:right w:val="single" w:sz="4" w:space="0" w:color="auto"/>
            </w:tcBorders>
            <w:vAlign w:val="center"/>
          </w:tcPr>
          <w:p w14:paraId="7B67A658"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Termiņš piekļuves nodrošināšanai (gads, ceturksnis)</w:t>
            </w:r>
          </w:p>
        </w:tc>
      </w:tr>
      <w:tr w:rsidR="00884D6B" w:rsidRPr="00732CA0" w14:paraId="2EDB8075" w14:textId="77777777" w:rsidTr="00DC725F">
        <w:tc>
          <w:tcPr>
            <w:tcW w:w="636" w:type="dxa"/>
            <w:vMerge w:val="restart"/>
          </w:tcPr>
          <w:p w14:paraId="179852E9"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3</w:t>
            </w:r>
          </w:p>
        </w:tc>
        <w:tc>
          <w:tcPr>
            <w:tcW w:w="5602" w:type="dxa"/>
            <w:tcBorders>
              <w:top w:val="single" w:sz="4" w:space="0" w:color="auto"/>
              <w:left w:val="single" w:sz="4" w:space="0" w:color="auto"/>
              <w:bottom w:val="single" w:sz="4" w:space="0" w:color="auto"/>
              <w:right w:val="single" w:sz="4" w:space="0" w:color="auto"/>
            </w:tcBorders>
          </w:tcPr>
          <w:p w14:paraId="49B17708"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5.3.1. Bibliotēku kopkataloga datu kopa</w:t>
            </w:r>
          </w:p>
        </w:tc>
        <w:tc>
          <w:tcPr>
            <w:tcW w:w="3118" w:type="dxa"/>
            <w:tcBorders>
              <w:top w:val="single" w:sz="4" w:space="0" w:color="auto"/>
              <w:left w:val="nil"/>
              <w:bottom w:val="single" w:sz="4" w:space="0" w:color="auto"/>
              <w:right w:val="single" w:sz="4" w:space="0" w:color="auto"/>
            </w:tcBorders>
          </w:tcPr>
          <w:p w14:paraId="38304533"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2026. gada I cet.</w:t>
            </w:r>
          </w:p>
        </w:tc>
      </w:tr>
      <w:tr w:rsidR="00884D6B" w:rsidRPr="00732CA0" w14:paraId="7BFBC202" w14:textId="77777777" w:rsidTr="00DC725F">
        <w:tc>
          <w:tcPr>
            <w:tcW w:w="636" w:type="dxa"/>
            <w:vMerge/>
          </w:tcPr>
          <w:p w14:paraId="35DBD48F" w14:textId="77777777" w:rsidR="00F4356A" w:rsidRPr="00732CA0" w:rsidRDefault="00F4356A" w:rsidP="00DC725F">
            <w:pPr>
              <w:rPr>
                <w:rFonts w:ascii="Times New Roman" w:hAnsi="Times New Roman" w:cs="Times New Roman"/>
                <w:sz w:val="20"/>
                <w:szCs w:val="20"/>
              </w:rPr>
            </w:pPr>
          </w:p>
        </w:tc>
        <w:tc>
          <w:tcPr>
            <w:tcW w:w="5602" w:type="dxa"/>
          </w:tcPr>
          <w:p w14:paraId="4D763370"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5.3.2. Valsts aizsargājamo nekustamo pieminekļu datu kopa</w:t>
            </w:r>
          </w:p>
        </w:tc>
        <w:tc>
          <w:tcPr>
            <w:tcW w:w="3118" w:type="dxa"/>
          </w:tcPr>
          <w:p w14:paraId="4AA02016"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2026. gada I cet.</w:t>
            </w:r>
          </w:p>
        </w:tc>
      </w:tr>
      <w:tr w:rsidR="00884D6B" w:rsidRPr="00732CA0" w14:paraId="5ED506AA" w14:textId="77777777" w:rsidTr="00DC725F">
        <w:tc>
          <w:tcPr>
            <w:tcW w:w="636" w:type="dxa"/>
            <w:vMerge/>
          </w:tcPr>
          <w:p w14:paraId="044EB4A6" w14:textId="77777777" w:rsidR="00F4356A" w:rsidRPr="00732CA0" w:rsidRDefault="00F4356A" w:rsidP="00DC725F">
            <w:pPr>
              <w:rPr>
                <w:rFonts w:ascii="Times New Roman" w:hAnsi="Times New Roman" w:cs="Times New Roman"/>
                <w:sz w:val="20"/>
                <w:szCs w:val="20"/>
              </w:rPr>
            </w:pPr>
          </w:p>
        </w:tc>
        <w:tc>
          <w:tcPr>
            <w:tcW w:w="5602" w:type="dxa"/>
          </w:tcPr>
          <w:p w14:paraId="5A7509C3" w14:textId="77777777" w:rsidR="00F4356A" w:rsidRPr="00732CA0" w:rsidRDefault="00F4356A" w:rsidP="00DC725F">
            <w:pP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5.3.3. NMKK attēlu datu kopa</w:t>
            </w:r>
          </w:p>
        </w:tc>
        <w:tc>
          <w:tcPr>
            <w:tcW w:w="3118" w:type="dxa"/>
          </w:tcPr>
          <w:p w14:paraId="5704664A" w14:textId="77777777" w:rsidR="00F4356A" w:rsidRPr="00732CA0" w:rsidRDefault="00F4356A" w:rsidP="00DC725F">
            <w:pPr>
              <w:jc w:val="center"/>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2026. gada I cet.</w:t>
            </w:r>
          </w:p>
        </w:tc>
      </w:tr>
    </w:tbl>
    <w:p w14:paraId="2D6D832C" w14:textId="77777777" w:rsidR="00F4356A" w:rsidRPr="00732CA0" w:rsidRDefault="00F4356A" w:rsidP="00F4356A">
      <w:pPr>
        <w:spacing w:after="0" w:line="240" w:lineRule="auto"/>
        <w:rPr>
          <w:rFonts w:ascii="Times New Roman" w:eastAsia="Times New Roman" w:hAnsi="Times New Roman" w:cs="Times New Roman"/>
          <w:bCs/>
          <w:sz w:val="24"/>
          <w:szCs w:val="24"/>
        </w:rPr>
      </w:pPr>
      <w:bookmarkStart w:id="1" w:name="_Hlk104550571"/>
    </w:p>
    <w:p w14:paraId="5D4DF989" w14:textId="77777777" w:rsidR="00F4356A" w:rsidRPr="00732CA0" w:rsidRDefault="00F4356A" w:rsidP="00F4356A">
      <w:pPr>
        <w:spacing w:after="60" w:line="240" w:lineRule="auto"/>
        <w:jc w:val="both"/>
        <w:rPr>
          <w:rFonts w:ascii="Times New Roman" w:eastAsia="Times New Roman" w:hAnsi="Times New Roman" w:cs="Times New Roman"/>
          <w:b/>
          <w:sz w:val="24"/>
          <w:szCs w:val="24"/>
        </w:rPr>
      </w:pPr>
      <w:r w:rsidRPr="00732CA0">
        <w:rPr>
          <w:rFonts w:ascii="Times New Roman" w:eastAsia="Times New Roman" w:hAnsi="Times New Roman" w:cs="Times New Roman"/>
          <w:b/>
          <w:sz w:val="24"/>
          <w:szCs w:val="24"/>
        </w:rPr>
        <w:t>6. Projekta pārvaldības un īstenošanas kapacitāte</w:t>
      </w:r>
      <w:r w:rsidRPr="00732CA0">
        <w:rPr>
          <w:rStyle w:val="FootnoteReference"/>
          <w:rFonts w:ascii="Times New Roman" w:eastAsia="Times New Roman" w:hAnsi="Times New Roman" w:cs="Times New Roman"/>
          <w:b/>
          <w:sz w:val="24"/>
          <w:szCs w:val="24"/>
        </w:rPr>
        <w:footnoteReference w:id="10"/>
      </w:r>
    </w:p>
    <w:tbl>
      <w:tblPr>
        <w:tblStyle w:val="TableGrid"/>
        <w:tblW w:w="9214" w:type="dxa"/>
        <w:tblInd w:w="-147" w:type="dxa"/>
        <w:tblLook w:val="04A0" w:firstRow="1" w:lastRow="0" w:firstColumn="1" w:lastColumn="0" w:noHBand="0" w:noVBand="1"/>
      </w:tblPr>
      <w:tblGrid>
        <w:gridCol w:w="9214"/>
      </w:tblGrid>
      <w:tr w:rsidR="00884D6B" w:rsidRPr="00732CA0" w14:paraId="2801E0C5" w14:textId="77777777" w:rsidTr="00DC725F">
        <w:trPr>
          <w:trHeight w:val="803"/>
        </w:trPr>
        <w:tc>
          <w:tcPr>
            <w:tcW w:w="9214" w:type="dxa"/>
          </w:tcPr>
          <w:bookmarkEnd w:id="1"/>
          <w:p w14:paraId="136AF2B6"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Kopumā projekta īstenošana tiks nodrošināta, pielietojot triju līmeņu projekta pārvaldības struktūru:</w:t>
            </w:r>
          </w:p>
          <w:p w14:paraId="08EDDFDA" w14:textId="77777777" w:rsidR="00F4356A" w:rsidRPr="00732CA0" w:rsidRDefault="00F4356A" w:rsidP="00DC725F">
            <w:pPr>
              <w:ind w:left="321" w:hanging="321"/>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w:t>
            </w:r>
            <w:r w:rsidRPr="00732CA0">
              <w:rPr>
                <w:rFonts w:ascii="Times New Roman" w:hAnsi="Times New Roman" w:cs="Times New Roman"/>
              </w:rPr>
              <w:tab/>
            </w:r>
            <w:r w:rsidRPr="00732CA0">
              <w:rPr>
                <w:rFonts w:ascii="Times New Roman" w:eastAsia="Times New Roman" w:hAnsi="Times New Roman" w:cs="Times New Roman"/>
                <w:b/>
                <w:bCs/>
                <w:sz w:val="20"/>
                <w:szCs w:val="20"/>
              </w:rPr>
              <w:t>projekta uzraudzības padome</w:t>
            </w:r>
            <w:r w:rsidRPr="00732CA0">
              <w:rPr>
                <w:rFonts w:ascii="Times New Roman" w:eastAsia="Times New Roman" w:hAnsi="Times New Roman" w:cs="Times New Roman"/>
                <w:sz w:val="20"/>
                <w:szCs w:val="20"/>
              </w:rPr>
              <w:t xml:space="preserve"> – tā ir atbildīga par projekta rezultātu sasniegšanu, uzrauga projekta darbības, akceptē projekta izmaiņas un lemj par projekta izmaiņu nepieciešamību, ja pēc tādām rodas vajadzība ārēju faktoru dēļ, un veic citus pienākumus;</w:t>
            </w:r>
          </w:p>
          <w:p w14:paraId="28B1565C" w14:textId="77777777" w:rsidR="00F4356A" w:rsidRPr="00732CA0" w:rsidRDefault="00F4356A" w:rsidP="00DC725F">
            <w:pPr>
              <w:ind w:left="321" w:hanging="321"/>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w:t>
            </w:r>
            <w:r w:rsidRPr="00732CA0">
              <w:rPr>
                <w:rFonts w:ascii="Times New Roman" w:hAnsi="Times New Roman" w:cs="Times New Roman"/>
              </w:rPr>
              <w:tab/>
            </w:r>
            <w:r w:rsidRPr="00732CA0">
              <w:rPr>
                <w:rFonts w:ascii="Times New Roman" w:eastAsia="Times New Roman" w:hAnsi="Times New Roman" w:cs="Times New Roman"/>
                <w:b/>
                <w:sz w:val="20"/>
                <w:szCs w:val="20"/>
              </w:rPr>
              <w:t xml:space="preserve">projekta vadības grupa </w:t>
            </w:r>
            <w:r w:rsidRPr="00732CA0">
              <w:rPr>
                <w:rFonts w:ascii="Times New Roman" w:eastAsia="Times New Roman" w:hAnsi="Times New Roman" w:cs="Times New Roman"/>
                <w:sz w:val="20"/>
                <w:szCs w:val="20"/>
              </w:rPr>
              <w:t>– tā identificē un sagatavo lēmumus par nepieciešamajām projekta izmaiņām, koordinē projekta darbības, vada piegādātāju darbu un veic citus pienākumus. Projekta vadības grupas darbu nodrošinās viens vai vairāki projekta vadītāji;</w:t>
            </w:r>
          </w:p>
          <w:p w14:paraId="364AC8AF" w14:textId="77777777" w:rsidR="00F4356A" w:rsidRPr="00732CA0" w:rsidRDefault="00F4356A" w:rsidP="00DC725F">
            <w:pPr>
              <w:ind w:left="321" w:hanging="321"/>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w:t>
            </w:r>
            <w:r w:rsidRPr="00732CA0">
              <w:rPr>
                <w:rFonts w:ascii="Times New Roman" w:hAnsi="Times New Roman" w:cs="Times New Roman"/>
              </w:rPr>
              <w:tab/>
            </w:r>
            <w:r w:rsidRPr="00732CA0">
              <w:rPr>
                <w:rFonts w:ascii="Times New Roman" w:eastAsia="Times New Roman" w:hAnsi="Times New Roman" w:cs="Times New Roman"/>
                <w:b/>
                <w:sz w:val="20"/>
                <w:szCs w:val="20"/>
              </w:rPr>
              <w:t xml:space="preserve">projekta komanda </w:t>
            </w:r>
            <w:r w:rsidRPr="00732CA0">
              <w:rPr>
                <w:rFonts w:ascii="Times New Roman" w:eastAsia="Times New Roman" w:hAnsi="Times New Roman" w:cs="Times New Roman"/>
                <w:sz w:val="20"/>
                <w:szCs w:val="20"/>
              </w:rPr>
              <w:t>– tā ietver projekta vadības personālu, procesus nodrošinošo struktūrvienību pārstāvjus (projekta īstenošanas personālu) un ārpakalpojumā piesaistītos speciālistus. Var tikt veidotas vairākas projekta komandas.</w:t>
            </w:r>
          </w:p>
          <w:p w14:paraId="6E01C36E" w14:textId="77777777" w:rsidR="00F4356A" w:rsidRPr="00732CA0" w:rsidRDefault="00F4356A" w:rsidP="00DC725F">
            <w:pPr>
              <w:jc w:val="both"/>
              <w:rPr>
                <w:rFonts w:ascii="Times New Roman" w:eastAsia="Times New Roman" w:hAnsi="Times New Roman" w:cs="Times New Roman"/>
                <w:sz w:val="20"/>
                <w:szCs w:val="20"/>
              </w:rPr>
            </w:pPr>
          </w:p>
          <w:p w14:paraId="54B33557"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 xml:space="preserve">Projekta vadību, tai skaitā projekta komandu, nodrošinās KISC darbinieki (uz pilnu vai daļēju darba slodzi), kas strādā institūcijā, vai personāls uz uzņēmuma līguma pamata. Specifisku jautājumu risināšanai, konsultāciju sniegšanai vai konkrētu aktivitāšu īstenošanai, ja nepieciešams, tiks piesaistīti KM resora iestāžu (piemēram, LNA, NKMP, atsevišķu muzeju u. c.) darbinieki (esošo amata pienākumu un atalgojuma ietvaros). </w:t>
            </w:r>
          </w:p>
          <w:p w14:paraId="7A123779" w14:textId="77777777" w:rsidR="00F4356A" w:rsidRPr="00732CA0" w:rsidRDefault="00F4356A" w:rsidP="00DC725F">
            <w:pPr>
              <w:jc w:val="both"/>
              <w:rPr>
                <w:rFonts w:ascii="Times New Roman" w:eastAsia="Times New Roman" w:hAnsi="Times New Roman" w:cs="Times New Roman"/>
                <w:sz w:val="20"/>
                <w:szCs w:val="20"/>
              </w:rPr>
            </w:pPr>
          </w:p>
          <w:p w14:paraId="27E71A3D"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LNB būs partneris aktivitātē, kas saistīta ar Vienotā bibliotēku kopkataloga veidošanu, un piedalīsies tajā ar saviem cilvēkresursiem esošo amata pienākumu un atalgojuma ietvaros.</w:t>
            </w:r>
          </w:p>
          <w:p w14:paraId="67E6649C" w14:textId="77777777" w:rsidR="00F4356A" w:rsidRPr="00732CA0" w:rsidRDefault="00F4356A" w:rsidP="00DC725F">
            <w:pPr>
              <w:jc w:val="both"/>
              <w:rPr>
                <w:rFonts w:ascii="Times New Roman" w:eastAsia="Times New Roman" w:hAnsi="Times New Roman" w:cs="Times New Roman"/>
                <w:sz w:val="20"/>
                <w:szCs w:val="20"/>
              </w:rPr>
            </w:pPr>
          </w:p>
          <w:p w14:paraId="0CAE9555"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KM IKT padome nodrošinās būtisku projekta jautājumu risināšanu resora līmenī, tai skaitā veiks projekta īstenošanas risku pārvaldību.</w:t>
            </w:r>
          </w:p>
          <w:p w14:paraId="20A39D7F" w14:textId="77777777" w:rsidR="00F4356A" w:rsidRPr="00732CA0" w:rsidRDefault="00F4356A" w:rsidP="00DC725F">
            <w:pPr>
              <w:jc w:val="both"/>
              <w:rPr>
                <w:rFonts w:ascii="Times New Roman" w:eastAsia="Times New Roman" w:hAnsi="Times New Roman" w:cs="Times New Roman"/>
                <w:sz w:val="20"/>
                <w:szCs w:val="20"/>
              </w:rPr>
            </w:pPr>
          </w:p>
          <w:p w14:paraId="3FDDCCC8"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Projekta īstenošanas kapacitāte tiks nodrošināta:</w:t>
            </w:r>
          </w:p>
          <w:p w14:paraId="3B05DE9C" w14:textId="77777777" w:rsidR="00F4356A" w:rsidRPr="00732CA0" w:rsidRDefault="00F4356A" w:rsidP="00DC725F">
            <w:pPr>
              <w:ind w:left="321" w:hanging="321"/>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w:t>
            </w:r>
            <w:r w:rsidRPr="00732CA0">
              <w:rPr>
                <w:rFonts w:ascii="Times New Roman" w:hAnsi="Times New Roman" w:cs="Times New Roman"/>
              </w:rPr>
              <w:tab/>
            </w:r>
            <w:r w:rsidRPr="00732CA0">
              <w:rPr>
                <w:rFonts w:ascii="Times New Roman" w:eastAsia="Times New Roman" w:hAnsi="Times New Roman" w:cs="Times New Roman"/>
                <w:sz w:val="20"/>
                <w:szCs w:val="20"/>
              </w:rPr>
              <w:t>piesaistot ārpakalpojuma sniedzējus;</w:t>
            </w:r>
          </w:p>
          <w:p w14:paraId="6B39EB39" w14:textId="77777777" w:rsidR="00F4356A" w:rsidRPr="00732CA0" w:rsidRDefault="00F4356A" w:rsidP="00DC725F">
            <w:pPr>
              <w:ind w:left="321" w:hanging="321"/>
              <w:jc w:val="both"/>
              <w:rPr>
                <w:rFonts w:ascii="Times New Roman" w:eastAsia="Times New Roman" w:hAnsi="Times New Roman" w:cs="Times New Roman"/>
                <w:i/>
                <w:sz w:val="20"/>
                <w:szCs w:val="20"/>
              </w:rPr>
            </w:pPr>
            <w:r w:rsidRPr="00732CA0">
              <w:rPr>
                <w:rFonts w:ascii="Times New Roman" w:eastAsia="Times New Roman" w:hAnsi="Times New Roman" w:cs="Times New Roman"/>
                <w:sz w:val="20"/>
                <w:szCs w:val="20"/>
              </w:rPr>
              <w:t>•</w:t>
            </w:r>
            <w:r w:rsidRPr="00732CA0">
              <w:rPr>
                <w:rFonts w:ascii="Times New Roman" w:hAnsi="Times New Roman" w:cs="Times New Roman"/>
              </w:rPr>
              <w:tab/>
            </w:r>
            <w:r w:rsidRPr="00732CA0">
              <w:rPr>
                <w:rFonts w:ascii="Times New Roman" w:eastAsia="Times New Roman" w:hAnsi="Times New Roman" w:cs="Times New Roman"/>
                <w:sz w:val="20"/>
                <w:szCs w:val="20"/>
              </w:rPr>
              <w:t xml:space="preserve">projekta īstenošanā iesaistot pamatdarbības procesu nodrošinošo iestāžu pārstāvjus. </w:t>
            </w:r>
          </w:p>
        </w:tc>
      </w:tr>
    </w:tbl>
    <w:p w14:paraId="6B18B12B" w14:textId="77777777" w:rsidR="00F4356A" w:rsidRPr="00732CA0" w:rsidRDefault="00F4356A" w:rsidP="00F4356A">
      <w:pPr>
        <w:spacing w:after="0" w:line="240" w:lineRule="auto"/>
        <w:rPr>
          <w:rFonts w:ascii="Times New Roman" w:eastAsia="Times New Roman" w:hAnsi="Times New Roman" w:cs="Times New Roman"/>
          <w:bCs/>
          <w:sz w:val="24"/>
          <w:szCs w:val="24"/>
        </w:rPr>
      </w:pPr>
    </w:p>
    <w:p w14:paraId="2D51A307" w14:textId="77777777" w:rsidR="00F4356A" w:rsidRPr="00732CA0" w:rsidRDefault="00F4356A" w:rsidP="00F4356A">
      <w:pPr>
        <w:spacing w:after="60" w:line="240" w:lineRule="auto"/>
        <w:jc w:val="both"/>
        <w:rPr>
          <w:rFonts w:ascii="Times New Roman" w:eastAsia="Times New Roman" w:hAnsi="Times New Roman" w:cs="Times New Roman"/>
          <w:b/>
          <w:sz w:val="24"/>
          <w:szCs w:val="24"/>
        </w:rPr>
      </w:pPr>
      <w:r w:rsidRPr="00732CA0">
        <w:rPr>
          <w:rFonts w:ascii="Times New Roman" w:eastAsia="Times New Roman" w:hAnsi="Times New Roman" w:cs="Times New Roman"/>
          <w:b/>
          <w:sz w:val="24"/>
          <w:szCs w:val="24"/>
        </w:rPr>
        <w:t>7. Izmaksu/ieguvumu analīze, tai skaitā ietekme uz pārvaldes darbinieku skaitu</w:t>
      </w:r>
    </w:p>
    <w:tbl>
      <w:tblPr>
        <w:tblStyle w:val="TableGrid"/>
        <w:tblW w:w="9214" w:type="dxa"/>
        <w:tblInd w:w="-147" w:type="dxa"/>
        <w:tblLook w:val="04A0" w:firstRow="1" w:lastRow="0" w:firstColumn="1" w:lastColumn="0" w:noHBand="0" w:noVBand="1"/>
      </w:tblPr>
      <w:tblGrid>
        <w:gridCol w:w="9214"/>
      </w:tblGrid>
      <w:tr w:rsidR="00884D6B" w:rsidRPr="00732CA0" w14:paraId="5AAFEB62" w14:textId="77777777" w:rsidTr="00DC725F">
        <w:tc>
          <w:tcPr>
            <w:tcW w:w="9214" w:type="dxa"/>
          </w:tcPr>
          <w:p w14:paraId="2FE8064E" w14:textId="77777777" w:rsidR="00F4356A" w:rsidRPr="00732CA0" w:rsidRDefault="00F4356A" w:rsidP="00DC725F">
            <w:pPr>
              <w:jc w:val="both"/>
              <w:rPr>
                <w:rFonts w:ascii="Times New Roman" w:eastAsia="Times New Roman" w:hAnsi="Times New Roman" w:cs="Times New Roman"/>
                <w:sz w:val="20"/>
                <w:szCs w:val="20"/>
              </w:rPr>
            </w:pPr>
            <w:bookmarkStart w:id="2" w:name="_Hlk119573101"/>
            <w:r w:rsidRPr="00732CA0">
              <w:rPr>
                <w:rFonts w:ascii="Times New Roman" w:eastAsia="Times New Roman" w:hAnsi="Times New Roman" w:cs="Times New Roman"/>
                <w:sz w:val="20"/>
                <w:szCs w:val="20"/>
              </w:rPr>
              <w:t xml:space="preserve">Projekta ieguvums rodas no sabiedrības finanšu līdzekļu ietaupījuma un patērētā laika samazinājuma. Meklējot digitālo saturu internetā un izmantojot tiešsaistes pakalpojumus, t. i., neapmeklējot kultūras mantojuma institūcijas klātienē, tiek būtiski samazināts administratīvais slogs, samazinoties klientu laika un finanšu līdzekļu patēriņam. Kultūras un atmiņas iestāžu klienti gadā ietaupīs vidēji 0,250 milj. </w:t>
            </w:r>
            <w:r w:rsidRPr="00732CA0">
              <w:rPr>
                <w:rFonts w:ascii="Times New Roman" w:eastAsia="Times New Roman" w:hAnsi="Times New Roman" w:cs="Times New Roman"/>
                <w:bCs/>
                <w:i/>
                <w:iCs/>
                <w:sz w:val="20"/>
                <w:szCs w:val="20"/>
              </w:rPr>
              <w:t>euro</w:t>
            </w:r>
            <w:r w:rsidRPr="00732CA0" w:rsidDel="00AF0A62">
              <w:rPr>
                <w:rFonts w:ascii="Times New Roman" w:eastAsia="Times New Roman" w:hAnsi="Times New Roman" w:cs="Times New Roman"/>
                <w:sz w:val="20"/>
                <w:szCs w:val="20"/>
              </w:rPr>
              <w:t xml:space="preserve"> </w:t>
            </w:r>
            <w:r w:rsidRPr="00732CA0">
              <w:rPr>
                <w:rFonts w:ascii="Times New Roman" w:eastAsia="Times New Roman" w:hAnsi="Times New Roman" w:cs="Times New Roman"/>
                <w:sz w:val="20"/>
                <w:szCs w:val="20"/>
              </w:rPr>
              <w:t xml:space="preserve">par sabiedriskā transporta izdevumiem (definējot 2,50 </w:t>
            </w:r>
            <w:r w:rsidRPr="00732CA0">
              <w:rPr>
                <w:rFonts w:ascii="Times New Roman" w:eastAsia="Times New Roman" w:hAnsi="Times New Roman" w:cs="Times New Roman"/>
                <w:bCs/>
                <w:i/>
                <w:iCs/>
                <w:sz w:val="20"/>
                <w:szCs w:val="20"/>
              </w:rPr>
              <w:t>euro</w:t>
            </w:r>
            <w:r w:rsidRPr="00732CA0" w:rsidDel="00AF0A62">
              <w:rPr>
                <w:rFonts w:ascii="Times New Roman" w:eastAsia="Times New Roman" w:hAnsi="Times New Roman" w:cs="Times New Roman"/>
                <w:sz w:val="20"/>
                <w:szCs w:val="20"/>
              </w:rPr>
              <w:t xml:space="preserve"> </w:t>
            </w:r>
            <w:r w:rsidRPr="00732CA0">
              <w:rPr>
                <w:rFonts w:ascii="Times New Roman" w:eastAsia="Times New Roman" w:hAnsi="Times New Roman" w:cs="Times New Roman"/>
                <w:sz w:val="20"/>
                <w:szCs w:val="20"/>
              </w:rPr>
              <w:t xml:space="preserve">par apmeklējuma reizi), neapmeklējot bibliotēku, arhīvu u. c. iestādes klātienē, bet meklējot un apskatot materiālus internetā. Izmaksu ietaupījums plānots arī saistībā ar LNA pakalpojumu sniegšanas procesu paātrināšanu (pakalpojumu pieprasījumu apstrādes ātrums, sarakstes apjoma samazināšanās, izziņu un rēķinu drukas apjoma samazināšanās, pasta pakalpojumi) – kopumā 10 gadu periodā būs ietaupījums 0,471 milj. </w:t>
            </w:r>
            <w:r w:rsidRPr="00732CA0">
              <w:rPr>
                <w:rFonts w:ascii="Times New Roman" w:eastAsia="Times New Roman" w:hAnsi="Times New Roman" w:cs="Times New Roman"/>
                <w:bCs/>
                <w:i/>
                <w:iCs/>
                <w:sz w:val="20"/>
                <w:szCs w:val="20"/>
              </w:rPr>
              <w:t>euro</w:t>
            </w:r>
            <w:r w:rsidRPr="00732CA0" w:rsidDel="009F4429">
              <w:rPr>
                <w:rFonts w:ascii="Times New Roman" w:eastAsia="Times New Roman" w:hAnsi="Times New Roman" w:cs="Times New Roman"/>
                <w:sz w:val="20"/>
                <w:szCs w:val="20"/>
              </w:rPr>
              <w:t xml:space="preserve"> </w:t>
            </w:r>
            <w:r w:rsidRPr="00732CA0">
              <w:rPr>
                <w:rFonts w:ascii="Times New Roman" w:eastAsia="Times New Roman" w:hAnsi="Times New Roman" w:cs="Times New Roman"/>
                <w:sz w:val="20"/>
                <w:szCs w:val="20"/>
              </w:rPr>
              <w:t>apmērā.</w:t>
            </w:r>
          </w:p>
          <w:bookmarkEnd w:id="2"/>
          <w:p w14:paraId="7346B21A" w14:textId="77777777" w:rsidR="00F4356A" w:rsidRPr="00732CA0" w:rsidRDefault="00F4356A" w:rsidP="00DC725F">
            <w:pPr>
              <w:jc w:val="both"/>
              <w:rPr>
                <w:rFonts w:ascii="Times New Roman" w:eastAsia="Times New Roman" w:hAnsi="Times New Roman" w:cs="Times New Roman"/>
                <w:sz w:val="20"/>
                <w:szCs w:val="20"/>
              </w:rPr>
            </w:pPr>
          </w:p>
          <w:p w14:paraId="7A2B927E"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lastRenderedPageBreak/>
              <w:t xml:space="preserve">Projekta īstenošanas rezultātā nav plānots palielināt darbinieku skaitu. Īstenojot IKT centralizācijas aktivitātes un ieviešot tehnoloģiskos risinājumus, būs iespējams ar esošo darbinieku skaitu apkalpot gan centralizētus IS risinājumus, gan kopējo IKT infrastruktūru. Veicot efektīvu pārvaldīšanas ieviešanu, ietaupījums atalgojumam 10 gadu periodā būs vismaz 1,847 milj. </w:t>
            </w:r>
            <w:r w:rsidRPr="00732CA0">
              <w:rPr>
                <w:rFonts w:ascii="Times New Roman" w:eastAsia="Times New Roman" w:hAnsi="Times New Roman" w:cs="Times New Roman"/>
                <w:bCs/>
                <w:i/>
                <w:iCs/>
                <w:sz w:val="20"/>
                <w:szCs w:val="20"/>
              </w:rPr>
              <w:t>euro</w:t>
            </w:r>
            <w:r w:rsidRPr="00732CA0" w:rsidDel="009F4429">
              <w:rPr>
                <w:rFonts w:ascii="Times New Roman" w:eastAsia="Times New Roman" w:hAnsi="Times New Roman" w:cs="Times New Roman"/>
                <w:sz w:val="20"/>
                <w:szCs w:val="20"/>
              </w:rPr>
              <w:t xml:space="preserve"> </w:t>
            </w:r>
            <w:r w:rsidRPr="00732CA0">
              <w:rPr>
                <w:rFonts w:ascii="Times New Roman" w:eastAsia="Times New Roman" w:hAnsi="Times New Roman" w:cs="Times New Roman"/>
                <w:sz w:val="20"/>
                <w:szCs w:val="20"/>
              </w:rPr>
              <w:t>(tiek pieņemts, ka, neveicot efektīvu pārvaldības ieviešanu, būtu nepieciešamas papildu septiņas slodzes, lai nodrošinātu vienotu IKT pārvaldību).</w:t>
            </w:r>
          </w:p>
          <w:p w14:paraId="749FE022" w14:textId="77777777" w:rsidR="00F4356A" w:rsidRPr="00732CA0" w:rsidRDefault="00F4356A" w:rsidP="00DC725F">
            <w:pPr>
              <w:jc w:val="both"/>
              <w:rPr>
                <w:rFonts w:ascii="Times New Roman" w:eastAsia="Times New Roman" w:hAnsi="Times New Roman" w:cs="Times New Roman"/>
                <w:sz w:val="20"/>
                <w:szCs w:val="20"/>
              </w:rPr>
            </w:pPr>
          </w:p>
          <w:p w14:paraId="34667C00" w14:textId="77777777" w:rsidR="00F4356A" w:rsidRPr="00732CA0" w:rsidRDefault="00F4356A" w:rsidP="00DC725F">
            <w:pPr>
              <w:spacing w:line="257" w:lineRule="auto"/>
              <w:jc w:val="both"/>
              <w:rPr>
                <w:rFonts w:ascii="Times New Roman" w:eastAsia="Times New Roman" w:hAnsi="Times New Roman" w:cs="Times New Roman"/>
                <w:i/>
                <w:iCs/>
                <w:sz w:val="20"/>
                <w:szCs w:val="20"/>
              </w:rPr>
            </w:pPr>
            <w:r w:rsidRPr="00732CA0">
              <w:rPr>
                <w:rFonts w:ascii="Times New Roman" w:eastAsia="Times New Roman" w:hAnsi="Times New Roman" w:cs="Times New Roman"/>
                <w:sz w:val="20"/>
                <w:szCs w:val="20"/>
              </w:rPr>
              <w:t xml:space="preserve">Projekta ieviešanas rezultātā institūcijas, nozares un sabiedrības kopējais ieguvums 10 gadu laikā vairāk nekā 1,2 reizes pārsniedz projekta investīcijas. Kopējais projekta lietderīgums aprēķināts, no projekta ieguvumiem 4 818 000 </w:t>
            </w:r>
            <w:r w:rsidRPr="00732CA0">
              <w:rPr>
                <w:rFonts w:ascii="Times New Roman" w:eastAsia="Times New Roman" w:hAnsi="Times New Roman" w:cs="Times New Roman"/>
                <w:bCs/>
                <w:i/>
                <w:iCs/>
                <w:sz w:val="20"/>
                <w:szCs w:val="20"/>
              </w:rPr>
              <w:t>euro</w:t>
            </w:r>
            <w:r w:rsidRPr="00732CA0">
              <w:rPr>
                <w:rFonts w:ascii="Times New Roman" w:eastAsia="Times New Roman" w:hAnsi="Times New Roman" w:cs="Times New Roman"/>
                <w:sz w:val="20"/>
                <w:szCs w:val="20"/>
              </w:rPr>
              <w:t xml:space="preserve"> (kopsumma) atņemot investīcijas (tai skaitā uzturēšanas izdevumus) 3 752 937 </w:t>
            </w:r>
            <w:r w:rsidRPr="00732CA0">
              <w:rPr>
                <w:rFonts w:ascii="Times New Roman" w:eastAsia="Times New Roman" w:hAnsi="Times New Roman" w:cs="Times New Roman"/>
                <w:bCs/>
                <w:i/>
                <w:iCs/>
                <w:sz w:val="20"/>
                <w:szCs w:val="20"/>
              </w:rPr>
              <w:t>euro</w:t>
            </w:r>
            <w:r w:rsidRPr="00732CA0" w:rsidDel="009F4429">
              <w:rPr>
                <w:rFonts w:ascii="Times New Roman" w:eastAsia="Times New Roman" w:hAnsi="Times New Roman" w:cs="Times New Roman"/>
                <w:sz w:val="20"/>
                <w:szCs w:val="20"/>
              </w:rPr>
              <w:t xml:space="preserve"> </w:t>
            </w:r>
            <w:r w:rsidRPr="00732CA0">
              <w:rPr>
                <w:rFonts w:ascii="Times New Roman" w:eastAsia="Times New Roman" w:hAnsi="Times New Roman" w:cs="Times New Roman"/>
                <w:sz w:val="20"/>
                <w:szCs w:val="20"/>
              </w:rPr>
              <w:t xml:space="preserve">un iegūstot kopējo projekta lietderīgumu 1 065 063 </w:t>
            </w:r>
            <w:r w:rsidRPr="00732CA0">
              <w:rPr>
                <w:rFonts w:ascii="Times New Roman" w:eastAsia="Times New Roman" w:hAnsi="Times New Roman" w:cs="Times New Roman"/>
                <w:bCs/>
                <w:i/>
                <w:iCs/>
                <w:sz w:val="20"/>
                <w:szCs w:val="20"/>
              </w:rPr>
              <w:t>euro</w:t>
            </w:r>
          </w:p>
        </w:tc>
      </w:tr>
    </w:tbl>
    <w:p w14:paraId="29E5F135" w14:textId="77777777" w:rsidR="00F4356A" w:rsidRPr="00732CA0" w:rsidRDefault="00F4356A" w:rsidP="00F4356A">
      <w:pPr>
        <w:spacing w:after="0" w:line="240" w:lineRule="auto"/>
        <w:rPr>
          <w:rFonts w:ascii="Times New Roman" w:eastAsia="Times New Roman" w:hAnsi="Times New Roman" w:cs="Times New Roman"/>
          <w:bCs/>
          <w:sz w:val="24"/>
          <w:szCs w:val="24"/>
        </w:rPr>
      </w:pPr>
    </w:p>
    <w:p w14:paraId="75635997" w14:textId="77777777" w:rsidR="00F4356A" w:rsidRPr="00732CA0" w:rsidRDefault="00F4356A" w:rsidP="00F4356A">
      <w:pPr>
        <w:spacing w:after="60" w:line="240" w:lineRule="auto"/>
        <w:jc w:val="both"/>
        <w:rPr>
          <w:rFonts w:ascii="Times New Roman" w:eastAsia="Times New Roman" w:hAnsi="Times New Roman" w:cs="Times New Roman"/>
          <w:b/>
          <w:sz w:val="24"/>
          <w:szCs w:val="24"/>
        </w:rPr>
      </w:pPr>
      <w:r w:rsidRPr="00732CA0">
        <w:rPr>
          <w:rFonts w:ascii="Times New Roman" w:eastAsia="Times New Roman" w:hAnsi="Times New Roman" w:cs="Times New Roman"/>
          <w:b/>
          <w:sz w:val="24"/>
          <w:szCs w:val="24"/>
        </w:rPr>
        <w:t xml:space="preserve">8. Cita būtiska informācija </w:t>
      </w:r>
    </w:p>
    <w:tbl>
      <w:tblPr>
        <w:tblStyle w:val="TableGrid"/>
        <w:tblW w:w="9214" w:type="dxa"/>
        <w:tblInd w:w="-147" w:type="dxa"/>
        <w:tblLook w:val="04A0" w:firstRow="1" w:lastRow="0" w:firstColumn="1" w:lastColumn="0" w:noHBand="0" w:noVBand="1"/>
      </w:tblPr>
      <w:tblGrid>
        <w:gridCol w:w="9214"/>
      </w:tblGrid>
      <w:tr w:rsidR="00884D6B" w:rsidRPr="00732CA0" w14:paraId="420322C4" w14:textId="77777777" w:rsidTr="00DC725F">
        <w:trPr>
          <w:trHeight w:val="842"/>
        </w:trPr>
        <w:tc>
          <w:tcPr>
            <w:tcW w:w="9214" w:type="dxa"/>
          </w:tcPr>
          <w:p w14:paraId="7F70DFCD"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Kultūras nozares projektu programmas projekti saskaņoti KM IKT padomē.</w:t>
            </w:r>
          </w:p>
          <w:p w14:paraId="2846B5AF" w14:textId="77777777" w:rsidR="00F4356A" w:rsidRPr="00732CA0" w:rsidRDefault="00F4356A" w:rsidP="00DC725F">
            <w:pPr>
              <w:jc w:val="both"/>
              <w:rPr>
                <w:rFonts w:ascii="Times New Roman" w:eastAsia="Times New Roman" w:hAnsi="Times New Roman" w:cs="Times New Roman"/>
                <w:sz w:val="20"/>
                <w:szCs w:val="20"/>
              </w:rPr>
            </w:pPr>
          </w:p>
          <w:p w14:paraId="3BB4B7F1"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Viens no būtiskiem projekta riskiem ir attiecināms uz finanšu risku – cilvēkdienas izmaksas IS pilnveidošanā var ietekmēt maksimāli plānoto funkcionalitāti, tomēr ar piešķirto finansējumu plānots sasniegt projekta mērķus.</w:t>
            </w:r>
          </w:p>
          <w:p w14:paraId="1F016953" w14:textId="77777777" w:rsidR="00F4356A" w:rsidRPr="00732CA0" w:rsidRDefault="00F4356A" w:rsidP="00DC725F">
            <w:pPr>
              <w:jc w:val="both"/>
              <w:rPr>
                <w:rFonts w:ascii="Times New Roman" w:eastAsia="Times New Roman" w:hAnsi="Times New Roman" w:cs="Times New Roman"/>
                <w:sz w:val="20"/>
                <w:szCs w:val="20"/>
              </w:rPr>
            </w:pPr>
          </w:p>
          <w:p w14:paraId="143267A7" w14:textId="77777777" w:rsidR="00F4356A" w:rsidRPr="00732CA0" w:rsidRDefault="00F4356A" w:rsidP="00DC725F">
            <w:pPr>
              <w:jc w:val="both"/>
              <w:rPr>
                <w:rFonts w:ascii="Times New Roman" w:eastAsia="Times New Roman" w:hAnsi="Times New Roman" w:cs="Times New Roman"/>
                <w:sz w:val="20"/>
                <w:szCs w:val="20"/>
              </w:rPr>
            </w:pPr>
            <w:r w:rsidRPr="00732CA0">
              <w:rPr>
                <w:rFonts w:ascii="Times New Roman" w:eastAsia="Times New Roman" w:hAnsi="Times New Roman" w:cs="Times New Roman"/>
                <w:sz w:val="20"/>
                <w:szCs w:val="20"/>
              </w:rPr>
              <w:t>Citi augsta līmeņa riski šobrīd nav identificēti.</w:t>
            </w:r>
          </w:p>
          <w:p w14:paraId="6CBF249E" w14:textId="77777777" w:rsidR="00F4356A" w:rsidRPr="00732CA0" w:rsidRDefault="00F4356A" w:rsidP="00DC725F">
            <w:pPr>
              <w:jc w:val="both"/>
              <w:rPr>
                <w:rFonts w:ascii="Times New Roman" w:eastAsia="Times New Roman" w:hAnsi="Times New Roman" w:cs="Times New Roman"/>
                <w:i/>
                <w:sz w:val="20"/>
                <w:szCs w:val="20"/>
              </w:rPr>
            </w:pPr>
          </w:p>
          <w:p w14:paraId="7BECAF04" w14:textId="77777777" w:rsidR="00F4356A" w:rsidRPr="00732CA0" w:rsidRDefault="00F4356A" w:rsidP="00DC725F">
            <w:pPr>
              <w:jc w:val="both"/>
              <w:rPr>
                <w:rFonts w:ascii="Times New Roman" w:eastAsia="Times New Roman" w:hAnsi="Times New Roman" w:cs="Times New Roman"/>
                <w:iCs/>
                <w:sz w:val="20"/>
                <w:szCs w:val="20"/>
              </w:rPr>
            </w:pPr>
            <w:r w:rsidRPr="00732CA0">
              <w:rPr>
                <w:rFonts w:ascii="Times New Roman" w:eastAsia="Times New Roman" w:hAnsi="Times New Roman" w:cs="Times New Roman"/>
                <w:iCs/>
                <w:sz w:val="20"/>
                <w:szCs w:val="20"/>
              </w:rPr>
              <w:t>KISC kā finansējuma saņēmējs nodrošina, ka projekta ietvaros komercdarbības atbalsts nav plānots un netiks sniegts. Projekta līdzekļi tiks ieguldīti tikai KISC informācijas sistēmu un risinājumu attīstībā, veicot pasūtījumus atbilstoši publisko iepirkumu normatīvajam regulējumam. Projekta ietvaros attīstītās informācijas sistēmas un risinājumi nebūs tiešā veidā pieejami komersantiem, un projekta īstenošanas rezultātā komersanti nevarēs gūt priekšrocības attiecībā pret citiem Eiropas Savienības komersantiem. Vienlaikus KISC kā finansējuma saņēmējam sniegtais atbalsts nav kvalificējams kā komercdarbības atbalsts, jo tas tiks piešķirts valsts deleģētas funkcijas veikšanai</w:t>
            </w:r>
          </w:p>
        </w:tc>
      </w:tr>
    </w:tbl>
    <w:p w14:paraId="0D598BDA" w14:textId="77777777" w:rsidR="00F4356A" w:rsidRPr="00732CA0" w:rsidRDefault="00F4356A" w:rsidP="00F4356A">
      <w:pPr>
        <w:pStyle w:val="FootnoteText"/>
        <w:ind w:left="142" w:hanging="142"/>
        <w:jc w:val="both"/>
        <w:rPr>
          <w:rFonts w:ascii="Times New Roman" w:hAnsi="Times New Roman" w:cs="Times New Roman"/>
          <w:sz w:val="18"/>
          <w:szCs w:val="18"/>
        </w:rPr>
      </w:pPr>
    </w:p>
    <w:p w14:paraId="3F56EB15"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Lietotie saīsinājumi:</w:t>
      </w:r>
    </w:p>
    <w:p w14:paraId="04856A03"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ANM – Atveseļošanas un noturības mehānisms</w:t>
      </w:r>
    </w:p>
    <w:p w14:paraId="0D409F5A"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API – lietojumprogrammu saskarne (</w:t>
      </w:r>
      <w:proofErr w:type="spellStart"/>
      <w:r w:rsidRPr="00732CA0">
        <w:rPr>
          <w:rFonts w:ascii="Times New Roman" w:hAnsi="Times New Roman" w:cs="Times New Roman"/>
          <w:sz w:val="18"/>
          <w:szCs w:val="18"/>
        </w:rPr>
        <w:t>angl</w:t>
      </w:r>
      <w:proofErr w:type="spellEnd"/>
      <w:r w:rsidRPr="00732CA0">
        <w:rPr>
          <w:rFonts w:ascii="Times New Roman" w:hAnsi="Times New Roman" w:cs="Times New Roman"/>
          <w:sz w:val="18"/>
          <w:szCs w:val="18"/>
        </w:rPr>
        <w:t xml:space="preserve">. – </w:t>
      </w:r>
      <w:proofErr w:type="spellStart"/>
      <w:r w:rsidRPr="00732CA0">
        <w:rPr>
          <w:rFonts w:ascii="Times New Roman" w:hAnsi="Times New Roman" w:cs="Times New Roman"/>
          <w:i/>
          <w:iCs/>
          <w:sz w:val="18"/>
          <w:szCs w:val="18"/>
        </w:rPr>
        <w:t>Application</w:t>
      </w:r>
      <w:proofErr w:type="spellEnd"/>
      <w:r w:rsidRPr="00732CA0">
        <w:rPr>
          <w:rFonts w:ascii="Times New Roman" w:hAnsi="Times New Roman" w:cs="Times New Roman"/>
          <w:i/>
          <w:iCs/>
          <w:sz w:val="18"/>
          <w:szCs w:val="18"/>
        </w:rPr>
        <w:t xml:space="preserve"> </w:t>
      </w:r>
      <w:proofErr w:type="spellStart"/>
      <w:r w:rsidRPr="00732CA0">
        <w:rPr>
          <w:rFonts w:ascii="Times New Roman" w:hAnsi="Times New Roman" w:cs="Times New Roman"/>
          <w:i/>
          <w:iCs/>
          <w:sz w:val="18"/>
          <w:szCs w:val="18"/>
        </w:rPr>
        <w:t>Program</w:t>
      </w:r>
      <w:proofErr w:type="spellEnd"/>
      <w:r w:rsidRPr="00732CA0">
        <w:rPr>
          <w:rFonts w:ascii="Times New Roman" w:hAnsi="Times New Roman" w:cs="Times New Roman"/>
          <w:i/>
          <w:iCs/>
          <w:sz w:val="18"/>
          <w:szCs w:val="18"/>
        </w:rPr>
        <w:t xml:space="preserve"> </w:t>
      </w:r>
      <w:proofErr w:type="spellStart"/>
      <w:r w:rsidRPr="00732CA0">
        <w:rPr>
          <w:rFonts w:ascii="Times New Roman" w:hAnsi="Times New Roman" w:cs="Times New Roman"/>
          <w:i/>
          <w:iCs/>
          <w:sz w:val="18"/>
          <w:szCs w:val="18"/>
        </w:rPr>
        <w:t>Interface</w:t>
      </w:r>
      <w:proofErr w:type="spellEnd"/>
      <w:r w:rsidRPr="00732CA0">
        <w:rPr>
          <w:rFonts w:ascii="Times New Roman" w:hAnsi="Times New Roman" w:cs="Times New Roman"/>
          <w:sz w:val="18"/>
          <w:szCs w:val="18"/>
        </w:rPr>
        <w:t>)</w:t>
      </w:r>
    </w:p>
    <w:p w14:paraId="032E0442"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ATR – administratīvi teritoriālā reforma</w:t>
      </w:r>
    </w:p>
    <w:p w14:paraId="1766132C"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ATS – Atsauces datu reģistrācijas sistēma</w:t>
      </w:r>
    </w:p>
    <w:p w14:paraId="3948E0B2" w14:textId="6787A36F" w:rsidR="00F4356A" w:rsidRPr="00732CA0" w:rsidRDefault="00F4356A" w:rsidP="004C2B06">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BIS – Būvniecības informācijas sistēma</w:t>
      </w:r>
    </w:p>
    <w:p w14:paraId="3BE0D20C"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 xml:space="preserve">ERAF – Eiropas Reģionālās attīstības fonds </w:t>
      </w:r>
    </w:p>
    <w:p w14:paraId="3AE6F7D7"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ES – Eiropas Savienība</w:t>
      </w:r>
    </w:p>
    <w:p w14:paraId="49BED902"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IKT – informācijas un komunikācijas tehnoloģijas</w:t>
      </w:r>
    </w:p>
    <w:p w14:paraId="3997FCC4"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IS – informācijas sistēma</w:t>
      </w:r>
    </w:p>
    <w:p w14:paraId="16C8B948"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IT – informācijas tehnoloģijas</w:t>
      </w:r>
    </w:p>
    <w:p w14:paraId="2D78BCF9"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KISC – Kultūras informācijas sistēmu centrs</w:t>
      </w:r>
    </w:p>
    <w:p w14:paraId="0BF670AE"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KM – Kultūras ministrija</w:t>
      </w:r>
    </w:p>
    <w:p w14:paraId="084D7CFC"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LNA – Latvijas Nacionālais arhīvs</w:t>
      </w:r>
    </w:p>
    <w:p w14:paraId="1FC084C0"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LNB – Latvijas Nacionālā bibliotēka</w:t>
      </w:r>
    </w:p>
    <w:p w14:paraId="37B16BE1"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NKMP – Nacionālā kultūras mantojuma pārvalde</w:t>
      </w:r>
    </w:p>
    <w:p w14:paraId="2C845E12"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NMKK – Nacionālā muzeju krājuma kopkatalogs</w:t>
      </w:r>
    </w:p>
    <w:p w14:paraId="6D19AF61" w14:textId="77777777" w:rsidR="00F4356A" w:rsidRPr="00732CA0" w:rsidRDefault="00F4356A" w:rsidP="00F4356A">
      <w:pPr>
        <w:pStyle w:val="FootnoteText"/>
        <w:ind w:left="142" w:hanging="142"/>
        <w:jc w:val="both"/>
        <w:rPr>
          <w:rFonts w:ascii="Times New Roman" w:hAnsi="Times New Roman" w:cs="Times New Roman"/>
          <w:sz w:val="18"/>
          <w:szCs w:val="18"/>
        </w:rPr>
      </w:pPr>
      <w:r w:rsidRPr="00732CA0">
        <w:rPr>
          <w:rFonts w:ascii="Times New Roman" w:hAnsi="Times New Roman" w:cs="Times New Roman"/>
          <w:sz w:val="18"/>
          <w:szCs w:val="18"/>
        </w:rPr>
        <w:t>PVN – pievienotās vērtības nodoklis</w:t>
      </w:r>
    </w:p>
    <w:p w14:paraId="0D6A0A16" w14:textId="77777777" w:rsidR="00F4356A" w:rsidRPr="00732CA0" w:rsidRDefault="00F4356A" w:rsidP="00F4356A">
      <w:pPr>
        <w:spacing w:after="0"/>
        <w:rPr>
          <w:rFonts w:ascii="Times New Roman" w:eastAsia="Times New Roman" w:hAnsi="Times New Roman" w:cs="Times New Roman"/>
          <w:sz w:val="18"/>
          <w:szCs w:val="18"/>
          <w:lang w:eastAsia="lv-LV"/>
        </w:rPr>
      </w:pPr>
      <w:r w:rsidRPr="00732CA0">
        <w:rPr>
          <w:rFonts w:ascii="Times New Roman" w:eastAsia="Times New Roman" w:hAnsi="Times New Roman" w:cs="Times New Roman"/>
          <w:sz w:val="18"/>
          <w:szCs w:val="18"/>
          <w:lang w:eastAsia="lv-LV"/>
        </w:rPr>
        <w:t xml:space="preserve">SLA – </w:t>
      </w:r>
      <w:r w:rsidRPr="00732CA0">
        <w:rPr>
          <w:rFonts w:ascii="Times New Roman" w:hAnsi="Times New Roman" w:cs="Times New Roman"/>
          <w:sz w:val="18"/>
          <w:szCs w:val="18"/>
        </w:rPr>
        <w:t>pakalpojuma līmeņa vienošanās</w:t>
      </w:r>
      <w:r w:rsidRPr="00732CA0" w:rsidDel="00BA05A6">
        <w:rPr>
          <w:rFonts w:ascii="Times New Roman" w:hAnsi="Times New Roman" w:cs="Times New Roman"/>
          <w:sz w:val="18"/>
          <w:szCs w:val="18"/>
        </w:rPr>
        <w:t xml:space="preserve"> </w:t>
      </w:r>
      <w:r w:rsidRPr="00732CA0" w:rsidDel="001A0215">
        <w:rPr>
          <w:rFonts w:ascii="Times New Roman" w:eastAsia="Times New Roman" w:hAnsi="Times New Roman" w:cs="Times New Roman"/>
          <w:sz w:val="18"/>
          <w:szCs w:val="18"/>
          <w:lang w:eastAsia="lv-LV"/>
        </w:rPr>
        <w:t xml:space="preserve">(angl. – </w:t>
      </w:r>
      <w:proofErr w:type="spellStart"/>
      <w:r w:rsidRPr="00732CA0" w:rsidDel="001A0215">
        <w:rPr>
          <w:rFonts w:ascii="Times New Roman" w:eastAsia="Times New Roman" w:hAnsi="Times New Roman" w:cs="Times New Roman"/>
          <w:i/>
          <w:iCs/>
          <w:sz w:val="18"/>
          <w:szCs w:val="18"/>
          <w:lang w:eastAsia="lv-LV"/>
        </w:rPr>
        <w:t>Service</w:t>
      </w:r>
      <w:proofErr w:type="spellEnd"/>
      <w:r w:rsidRPr="00732CA0" w:rsidDel="001A0215">
        <w:rPr>
          <w:rFonts w:ascii="Times New Roman" w:eastAsia="Times New Roman" w:hAnsi="Times New Roman" w:cs="Times New Roman"/>
          <w:i/>
          <w:iCs/>
          <w:sz w:val="18"/>
          <w:szCs w:val="18"/>
          <w:lang w:eastAsia="lv-LV"/>
        </w:rPr>
        <w:t xml:space="preserve"> </w:t>
      </w:r>
      <w:proofErr w:type="spellStart"/>
      <w:r w:rsidRPr="00732CA0" w:rsidDel="001A0215">
        <w:rPr>
          <w:rFonts w:ascii="Times New Roman" w:eastAsia="Times New Roman" w:hAnsi="Times New Roman" w:cs="Times New Roman"/>
          <w:i/>
          <w:iCs/>
          <w:sz w:val="18"/>
          <w:szCs w:val="18"/>
          <w:lang w:eastAsia="lv-LV"/>
        </w:rPr>
        <w:t>Level</w:t>
      </w:r>
      <w:proofErr w:type="spellEnd"/>
      <w:r w:rsidRPr="00732CA0" w:rsidDel="001A0215">
        <w:rPr>
          <w:rFonts w:ascii="Times New Roman" w:eastAsia="Times New Roman" w:hAnsi="Times New Roman" w:cs="Times New Roman"/>
          <w:i/>
          <w:iCs/>
          <w:sz w:val="18"/>
          <w:szCs w:val="18"/>
          <w:lang w:eastAsia="lv-LV"/>
        </w:rPr>
        <w:t xml:space="preserve"> </w:t>
      </w:r>
      <w:proofErr w:type="spellStart"/>
      <w:r w:rsidRPr="00732CA0" w:rsidDel="001A0215">
        <w:rPr>
          <w:rFonts w:ascii="Times New Roman" w:eastAsia="Times New Roman" w:hAnsi="Times New Roman" w:cs="Times New Roman"/>
          <w:i/>
          <w:iCs/>
          <w:sz w:val="18"/>
          <w:szCs w:val="18"/>
          <w:lang w:eastAsia="lv-LV"/>
        </w:rPr>
        <w:t>Agreement</w:t>
      </w:r>
      <w:proofErr w:type="spellEnd"/>
      <w:r w:rsidRPr="00732CA0" w:rsidDel="001A0215">
        <w:rPr>
          <w:rFonts w:ascii="Times New Roman" w:eastAsia="Times New Roman" w:hAnsi="Times New Roman" w:cs="Times New Roman"/>
          <w:sz w:val="18"/>
          <w:szCs w:val="18"/>
          <w:lang w:eastAsia="lv-LV"/>
        </w:rPr>
        <w:t>)</w:t>
      </w:r>
    </w:p>
    <w:p w14:paraId="3811AC8F" w14:textId="77777777" w:rsidR="00F4356A" w:rsidRPr="00732CA0" w:rsidRDefault="00F4356A" w:rsidP="00F4356A">
      <w:pPr>
        <w:spacing w:after="0"/>
        <w:rPr>
          <w:rFonts w:ascii="Times New Roman" w:eastAsia="Times New Roman" w:hAnsi="Times New Roman" w:cs="Times New Roman"/>
          <w:sz w:val="18"/>
          <w:szCs w:val="18"/>
          <w:lang w:eastAsia="lv-LV"/>
        </w:rPr>
      </w:pPr>
      <w:r w:rsidRPr="00732CA0">
        <w:rPr>
          <w:rFonts w:ascii="Times New Roman" w:eastAsia="Times New Roman" w:hAnsi="Times New Roman" w:cs="Times New Roman"/>
          <w:sz w:val="18"/>
          <w:szCs w:val="18"/>
          <w:lang w:eastAsia="lv-LV"/>
        </w:rPr>
        <w:t>VARAM – Vides aizsardzības un reģionālās attīstības ministrija</w:t>
      </w:r>
    </w:p>
    <w:p w14:paraId="08DE6BB3" w14:textId="6A5A9F80" w:rsidR="004F4EFF" w:rsidRPr="00732CA0" w:rsidRDefault="00F4356A" w:rsidP="00732CA0">
      <w:pPr>
        <w:spacing w:after="0"/>
        <w:rPr>
          <w:rFonts w:ascii="Times New Roman" w:eastAsia="Times New Roman" w:hAnsi="Times New Roman" w:cs="Times New Roman"/>
          <w:sz w:val="18"/>
          <w:szCs w:val="18"/>
        </w:rPr>
      </w:pPr>
      <w:r w:rsidRPr="00732CA0">
        <w:rPr>
          <w:rFonts w:ascii="Times New Roman" w:eastAsia="Times New Roman" w:hAnsi="Times New Roman" w:cs="Times New Roman"/>
          <w:sz w:val="18"/>
          <w:szCs w:val="18"/>
        </w:rPr>
        <w:t xml:space="preserve">VVAIS </w:t>
      </w:r>
      <w:r w:rsidRPr="00732CA0">
        <w:rPr>
          <w:rFonts w:ascii="Times New Roman" w:eastAsia="Times New Roman" w:hAnsi="Times New Roman" w:cs="Times New Roman"/>
          <w:sz w:val="18"/>
          <w:szCs w:val="18"/>
          <w:lang w:eastAsia="lv-LV"/>
        </w:rPr>
        <w:t>–</w:t>
      </w:r>
      <w:r w:rsidRPr="00732CA0">
        <w:rPr>
          <w:rFonts w:ascii="Times New Roman" w:eastAsia="Times New Roman" w:hAnsi="Times New Roman" w:cs="Times New Roman"/>
          <w:sz w:val="18"/>
          <w:szCs w:val="18"/>
        </w:rPr>
        <w:t xml:space="preserve"> Vienotā valsts arhīvu informācijas sistēma</w:t>
      </w:r>
      <w:r w:rsidR="00884D6B" w:rsidRPr="00732CA0">
        <w:rPr>
          <w:rFonts w:ascii="Times New Roman" w:eastAsia="Times New Roman" w:hAnsi="Times New Roman" w:cs="Times New Roman"/>
          <w:sz w:val="18"/>
          <w:szCs w:val="18"/>
        </w:rPr>
        <w:t>"</w:t>
      </w:r>
    </w:p>
    <w:sectPr w:rsidR="004F4EFF" w:rsidRPr="00732CA0" w:rsidSect="00F4356A">
      <w:headerReference w:type="default" r:id="rId12"/>
      <w:footerReference w:type="default" r:id="rId13"/>
      <w:headerReference w:type="first" r:id="rId14"/>
      <w:footerReference w:type="first" r:id="rId15"/>
      <w:pgSz w:w="11906" w:h="16838" w:code="9"/>
      <w:pgMar w:top="1418" w:right="1134"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02FF" w14:textId="77777777" w:rsidR="0021400F" w:rsidRDefault="0021400F" w:rsidP="00F4356A">
      <w:pPr>
        <w:spacing w:after="0" w:line="240" w:lineRule="auto"/>
      </w:pPr>
      <w:r>
        <w:separator/>
      </w:r>
    </w:p>
  </w:endnote>
  <w:endnote w:type="continuationSeparator" w:id="0">
    <w:p w14:paraId="291F0E36" w14:textId="77777777" w:rsidR="0021400F" w:rsidRDefault="0021400F" w:rsidP="00F4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2FCF" w14:textId="77777777" w:rsidR="00F4356A" w:rsidRDefault="00F4356A">
    <w:pPr>
      <w:pStyle w:val="Footer"/>
      <w:rPr>
        <w:rFonts w:ascii="Times New Roman" w:hAnsi="Times New Roman" w:cs="Times New Roman"/>
        <w:sz w:val="16"/>
        <w:szCs w:val="16"/>
      </w:rPr>
    </w:pPr>
  </w:p>
  <w:p w14:paraId="63D4012C" w14:textId="6F170745" w:rsidR="00F4356A" w:rsidRPr="00C078E7" w:rsidRDefault="006566A1" w:rsidP="006566A1">
    <w:pPr>
      <w:pStyle w:val="Footer"/>
      <w:rPr>
        <w:rFonts w:ascii="Times New Roman" w:hAnsi="Times New Roman" w:cs="Times New Roman"/>
        <w:sz w:val="16"/>
        <w:szCs w:val="16"/>
      </w:rPr>
    </w:pPr>
    <w:r w:rsidRPr="00297474">
      <w:rPr>
        <w:rFonts w:ascii="Times New Roman" w:hAnsi="Times New Roman" w:cs="Times New Roman"/>
        <w:sz w:val="16"/>
        <w:szCs w:val="16"/>
      </w:rPr>
      <w:t>R3116_5p_KM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BF45" w14:textId="0FCB54A3" w:rsidR="006566A1" w:rsidRPr="00732CA0" w:rsidRDefault="006566A1">
    <w:pPr>
      <w:pStyle w:val="Footer"/>
      <w:rPr>
        <w:rFonts w:ascii="Times New Roman" w:hAnsi="Times New Roman" w:cs="Times New Roman"/>
        <w:sz w:val="16"/>
        <w:szCs w:val="16"/>
      </w:rPr>
    </w:pPr>
    <w:r w:rsidRPr="00732CA0">
      <w:rPr>
        <w:rFonts w:ascii="Times New Roman" w:hAnsi="Times New Roman" w:cs="Times New Roman"/>
        <w:sz w:val="16"/>
        <w:szCs w:val="16"/>
      </w:rPr>
      <w:t>R3116_5p_KM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8C85" w14:textId="77777777" w:rsidR="0021400F" w:rsidRDefault="0021400F" w:rsidP="00F4356A">
      <w:pPr>
        <w:spacing w:after="0" w:line="240" w:lineRule="auto"/>
      </w:pPr>
      <w:r>
        <w:separator/>
      </w:r>
    </w:p>
  </w:footnote>
  <w:footnote w:type="continuationSeparator" w:id="0">
    <w:p w14:paraId="05C3ACBE" w14:textId="77777777" w:rsidR="0021400F" w:rsidRDefault="0021400F" w:rsidP="00F4356A">
      <w:pPr>
        <w:spacing w:after="0" w:line="240" w:lineRule="auto"/>
      </w:pPr>
      <w:r>
        <w:continuationSeparator/>
      </w:r>
    </w:p>
  </w:footnote>
  <w:footnote w:id="1">
    <w:p w14:paraId="711F23E8" w14:textId="77777777" w:rsidR="00F4356A" w:rsidRPr="00C078E7" w:rsidRDefault="00F4356A" w:rsidP="00F4356A">
      <w:pPr>
        <w:pStyle w:val="FootnoteText"/>
        <w:ind w:left="142" w:hanging="142"/>
        <w:jc w:val="both"/>
        <w:rPr>
          <w:rFonts w:ascii="Times New Roman" w:hAnsi="Times New Roman" w:cs="Times New Roman"/>
          <w:sz w:val="18"/>
          <w:szCs w:val="18"/>
        </w:rPr>
      </w:pPr>
      <w:r w:rsidRPr="00C078E7">
        <w:rPr>
          <w:rStyle w:val="FootnoteReference"/>
          <w:sz w:val="18"/>
          <w:szCs w:val="18"/>
        </w:rPr>
        <w:footnoteRef/>
      </w:r>
      <w:r w:rsidRPr="00C078E7">
        <w:rPr>
          <w:rFonts w:ascii="Times New Roman" w:hAnsi="Times New Roman" w:cs="Times New Roman"/>
          <w:sz w:val="18"/>
          <w:szCs w:val="18"/>
        </w:rPr>
        <w:t xml:space="preserve"> Obligāti jāiekļauj vismaz viens (vēlami vismaz divi) būtisks ieguvums, kas tiek sasniegts jau projekta īstenošanas laikā. Šajā sadaļā ir jānorāda būtiski ieguvumi nozarei, institūcijai, sabiedrībai, bet nav jānorāda iznākumi – ieguldījumi Atveseļošanas un noturības mehānisma plāna 2.1. mērķa rādītāju sasniegšanā, ko norāda 5. punktā.</w:t>
      </w:r>
    </w:p>
  </w:footnote>
  <w:footnote w:id="2">
    <w:p w14:paraId="52B180F4" w14:textId="77777777" w:rsidR="00F4356A" w:rsidRPr="00C078E7" w:rsidRDefault="00F4356A" w:rsidP="00F4356A">
      <w:pPr>
        <w:pStyle w:val="FootnoteText"/>
        <w:ind w:left="142" w:hanging="142"/>
        <w:jc w:val="both"/>
        <w:rPr>
          <w:rFonts w:ascii="Times New Roman" w:hAnsi="Times New Roman" w:cs="Times New Roman"/>
          <w:sz w:val="18"/>
          <w:szCs w:val="18"/>
        </w:rPr>
      </w:pPr>
      <w:r w:rsidRPr="00C078E7">
        <w:rPr>
          <w:rStyle w:val="FootnoteReference"/>
          <w:rFonts w:ascii="Times New Roman" w:hAnsi="Times New Roman" w:cs="Times New Roman"/>
          <w:sz w:val="18"/>
          <w:szCs w:val="18"/>
        </w:rPr>
        <w:footnoteRef/>
      </w:r>
      <w:r w:rsidRPr="00C078E7">
        <w:rPr>
          <w:rFonts w:ascii="Times New Roman" w:hAnsi="Times New Roman" w:cs="Times New Roman"/>
          <w:sz w:val="18"/>
          <w:szCs w:val="18"/>
        </w:rPr>
        <w:t xml:space="preserve"> Piemēram, ja ieguvums ir personāla administrēšanas funkcijas centralizācija, tad mērījums varētu būt, piemēram, tiešās pārvaldes darbinieku skaits, kas to izmanto, vērtība, piemēram, 10 000, un sasniegšanas laiks – 2026. gads.</w:t>
      </w:r>
    </w:p>
  </w:footnote>
  <w:footnote w:id="3">
    <w:p w14:paraId="7EACEC46" w14:textId="77777777" w:rsidR="00F4356A" w:rsidRPr="00C078E7" w:rsidRDefault="00F4356A" w:rsidP="00F4356A">
      <w:pPr>
        <w:pStyle w:val="FootnoteText"/>
        <w:ind w:left="142" w:hanging="142"/>
        <w:jc w:val="both"/>
        <w:rPr>
          <w:rFonts w:ascii="Times New Roman" w:hAnsi="Times New Roman" w:cs="Times New Roman"/>
          <w:sz w:val="18"/>
          <w:szCs w:val="18"/>
        </w:rPr>
      </w:pPr>
      <w:r w:rsidRPr="00C078E7">
        <w:rPr>
          <w:rStyle w:val="FootnoteReference"/>
          <w:rFonts w:ascii="Times New Roman" w:hAnsi="Times New Roman" w:cs="Times New Roman"/>
          <w:sz w:val="18"/>
          <w:szCs w:val="18"/>
        </w:rPr>
        <w:footnoteRef/>
      </w:r>
      <w:r w:rsidRPr="00C078E7">
        <w:rPr>
          <w:rFonts w:ascii="Times New Roman" w:hAnsi="Times New Roman" w:cs="Times New Roman"/>
          <w:sz w:val="18"/>
          <w:szCs w:val="18"/>
        </w:rPr>
        <w:t xml:space="preserve"> PVN netiek attiecināts projektu īstenotājiem, kas to var attiecināt patstāvīgi. Pārējie projektu īstenotāji var pieprasīt to attiecināt, norādot apmēru un saskaņojot to ar Finanšu ministriju. </w:t>
      </w:r>
    </w:p>
  </w:footnote>
  <w:footnote w:id="4">
    <w:p w14:paraId="4AF13F40" w14:textId="77777777" w:rsidR="00F4356A" w:rsidRPr="00C078E7" w:rsidRDefault="00F4356A" w:rsidP="00F4356A">
      <w:pPr>
        <w:pStyle w:val="FootnoteText"/>
        <w:ind w:left="142" w:hanging="142"/>
        <w:jc w:val="both"/>
        <w:rPr>
          <w:rFonts w:ascii="Times New Roman" w:hAnsi="Times New Roman" w:cs="Times New Roman"/>
          <w:i/>
          <w:iCs/>
          <w:sz w:val="18"/>
          <w:szCs w:val="18"/>
        </w:rPr>
      </w:pPr>
      <w:r w:rsidRPr="00C078E7">
        <w:rPr>
          <w:rFonts w:ascii="Times New Roman" w:hAnsi="Times New Roman" w:cs="Times New Roman"/>
          <w:sz w:val="18"/>
          <w:szCs w:val="18"/>
          <w:vertAlign w:val="superscript"/>
        </w:rPr>
        <w:footnoteRef/>
      </w:r>
      <w:r w:rsidRPr="00C078E7">
        <w:rPr>
          <w:rFonts w:ascii="Times New Roman" w:hAnsi="Times New Roman" w:cs="Times New Roman"/>
          <w:sz w:val="18"/>
          <w:szCs w:val="18"/>
        </w:rPr>
        <w:t xml:space="preserve"> Avansa maksājumi ir attiecināmi uz projektu īstenotājiem, kas nav valsts tiešās pārvaldes institūcijas. Jānorāda apmērs, kas nepārsniedz 30 % no attiecināmo izmaksu kopsummas, un jāsaskaņo ar Finanšu ministriju.</w:t>
      </w:r>
    </w:p>
  </w:footnote>
  <w:footnote w:id="5">
    <w:p w14:paraId="241463FA" w14:textId="77777777" w:rsidR="00F4356A" w:rsidRPr="00C078E7" w:rsidRDefault="00F4356A" w:rsidP="00F4356A">
      <w:pPr>
        <w:pStyle w:val="FootnoteText"/>
        <w:ind w:left="142" w:hanging="142"/>
        <w:jc w:val="both"/>
        <w:rPr>
          <w:rFonts w:ascii="Times New Roman" w:hAnsi="Times New Roman" w:cs="Times New Roman"/>
          <w:sz w:val="18"/>
          <w:szCs w:val="18"/>
        </w:rPr>
      </w:pPr>
      <w:r w:rsidRPr="00C078E7">
        <w:rPr>
          <w:rFonts w:ascii="Times New Roman" w:hAnsi="Times New Roman" w:cs="Times New Roman"/>
          <w:sz w:val="18"/>
          <w:szCs w:val="18"/>
          <w:vertAlign w:val="superscript"/>
        </w:rPr>
        <w:footnoteRef/>
      </w:r>
      <w:r w:rsidRPr="00C078E7">
        <w:rPr>
          <w:rFonts w:ascii="Times New Roman" w:hAnsi="Times New Roman" w:cs="Times New Roman"/>
          <w:sz w:val="18"/>
          <w:szCs w:val="18"/>
        </w:rPr>
        <w:t xml:space="preserve"> Apmērs, ko nedrīkst pārsniegt, nesaskaņojot grozījumus Ministru kabinetā. Ja ierobežojumi uz konkrēto pozīciju nav attiecināmi, tad norāda </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n/a</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w:t>
      </w:r>
    </w:p>
  </w:footnote>
  <w:footnote w:id="6">
    <w:p w14:paraId="3D4C2C9C" w14:textId="77777777" w:rsidR="00F4356A" w:rsidRPr="00C078E7" w:rsidRDefault="00F4356A" w:rsidP="00F4356A">
      <w:pPr>
        <w:pStyle w:val="FootnoteText"/>
        <w:ind w:left="142" w:hanging="142"/>
        <w:jc w:val="both"/>
        <w:rPr>
          <w:rFonts w:ascii="Times New Roman" w:hAnsi="Times New Roman" w:cs="Times New Roman"/>
          <w:sz w:val="18"/>
          <w:szCs w:val="18"/>
        </w:rPr>
      </w:pPr>
      <w:r w:rsidRPr="00C078E7">
        <w:rPr>
          <w:rStyle w:val="FootnoteReference"/>
          <w:rFonts w:ascii="Times New Roman" w:hAnsi="Times New Roman" w:cs="Times New Roman"/>
          <w:sz w:val="18"/>
          <w:szCs w:val="18"/>
        </w:rPr>
        <w:footnoteRef/>
      </w:r>
      <w:r w:rsidRPr="00C078E7">
        <w:rPr>
          <w:rFonts w:ascii="Times New Roman" w:hAnsi="Times New Roman" w:cs="Times New Roman"/>
          <w:sz w:val="18"/>
          <w:szCs w:val="18"/>
        </w:rPr>
        <w:t xml:space="preserve"> Informācija, kas norādīta Ministru kabineta 2021. gada 31. augusta noteikumu Nr. 597 </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Valsts informācijas sistēmu attīstības projektu uzraudzības kārtība</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 xml:space="preserve"> (t</w:t>
      </w:r>
      <w:r>
        <w:rPr>
          <w:rFonts w:ascii="Times New Roman" w:hAnsi="Times New Roman" w:cs="Times New Roman"/>
          <w:sz w:val="18"/>
          <w:szCs w:val="18"/>
        </w:rPr>
        <w:t>ā</w:t>
      </w:r>
      <w:r w:rsidRPr="00C078E7">
        <w:rPr>
          <w:rFonts w:ascii="Times New Roman" w:hAnsi="Times New Roman" w:cs="Times New Roman"/>
          <w:sz w:val="18"/>
          <w:szCs w:val="18"/>
        </w:rPr>
        <w:t xml:space="preserve"> </w:t>
      </w:r>
      <w:r>
        <w:rPr>
          <w:rFonts w:ascii="Times New Roman" w:hAnsi="Times New Roman" w:cs="Times New Roman"/>
          <w:sz w:val="18"/>
          <w:szCs w:val="18"/>
        </w:rPr>
        <w:t>sauktā</w:t>
      </w:r>
      <w:r w:rsidRPr="00C078E7">
        <w:rPr>
          <w:rFonts w:ascii="Times New Roman" w:hAnsi="Times New Roman" w:cs="Times New Roman"/>
          <w:sz w:val="18"/>
          <w:szCs w:val="18"/>
        </w:rPr>
        <w:t xml:space="preserve"> IKT būvvaldes kārtība) 2.</w:t>
      </w:r>
      <w:r>
        <w:rPr>
          <w:rFonts w:ascii="Times New Roman" w:hAnsi="Times New Roman" w:cs="Times New Roman"/>
          <w:sz w:val="18"/>
          <w:szCs w:val="18"/>
        </w:rPr>
        <w:t xml:space="preserve"> </w:t>
      </w:r>
      <w:r w:rsidRPr="00C078E7">
        <w:rPr>
          <w:rFonts w:ascii="Times New Roman" w:hAnsi="Times New Roman" w:cs="Times New Roman"/>
          <w:sz w:val="18"/>
          <w:szCs w:val="18"/>
        </w:rPr>
        <w:t xml:space="preserve">pielikuma </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Valsts informācijas sistēmas attīstības aktivitātes apraksts</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 xml:space="preserve"> 3. punktā.</w:t>
      </w:r>
    </w:p>
  </w:footnote>
  <w:footnote w:id="7">
    <w:p w14:paraId="2E583EC1" w14:textId="77777777" w:rsidR="00F4356A" w:rsidRPr="00C078E7" w:rsidRDefault="00F4356A" w:rsidP="00F4356A">
      <w:pPr>
        <w:pStyle w:val="FootnoteText"/>
        <w:ind w:left="142" w:hanging="142"/>
        <w:jc w:val="both"/>
        <w:rPr>
          <w:rFonts w:ascii="Times New Roman" w:hAnsi="Times New Roman" w:cs="Times New Roman"/>
          <w:sz w:val="18"/>
          <w:szCs w:val="18"/>
        </w:rPr>
      </w:pPr>
      <w:r w:rsidRPr="00C078E7">
        <w:rPr>
          <w:rStyle w:val="FootnoteReference"/>
          <w:rFonts w:ascii="Times New Roman" w:hAnsi="Times New Roman" w:cs="Times New Roman"/>
          <w:sz w:val="18"/>
          <w:szCs w:val="18"/>
        </w:rPr>
        <w:footnoteRef/>
      </w:r>
      <w:r w:rsidRPr="00C078E7">
        <w:rPr>
          <w:rFonts w:ascii="Times New Roman" w:hAnsi="Times New Roman" w:cs="Times New Roman"/>
          <w:sz w:val="18"/>
          <w:szCs w:val="18"/>
        </w:rPr>
        <w:t xml:space="preserve"> Informācija, kas norādīta Ministru kabineta 2021. gada 31. augusta noteikumu Nr. 597 </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Valsts informācijas sistēmu attīstības projektu uzraudzības kārtība</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 xml:space="preserve"> (</w:t>
      </w:r>
      <w:r w:rsidRPr="001467DD">
        <w:rPr>
          <w:rFonts w:ascii="Times New Roman" w:hAnsi="Times New Roman" w:cs="Times New Roman"/>
          <w:sz w:val="18"/>
          <w:szCs w:val="18"/>
        </w:rPr>
        <w:t>t</w:t>
      </w:r>
      <w:r>
        <w:rPr>
          <w:rFonts w:ascii="Times New Roman" w:hAnsi="Times New Roman" w:cs="Times New Roman"/>
          <w:sz w:val="18"/>
          <w:szCs w:val="18"/>
        </w:rPr>
        <w:t>ā</w:t>
      </w:r>
      <w:r w:rsidRPr="001467DD">
        <w:rPr>
          <w:rFonts w:ascii="Times New Roman" w:hAnsi="Times New Roman" w:cs="Times New Roman"/>
          <w:sz w:val="18"/>
          <w:szCs w:val="18"/>
        </w:rPr>
        <w:t xml:space="preserve"> </w:t>
      </w:r>
      <w:r>
        <w:rPr>
          <w:rFonts w:ascii="Times New Roman" w:hAnsi="Times New Roman" w:cs="Times New Roman"/>
          <w:sz w:val="18"/>
          <w:szCs w:val="18"/>
        </w:rPr>
        <w:t>sauktā</w:t>
      </w:r>
      <w:r w:rsidRPr="001467DD">
        <w:rPr>
          <w:rFonts w:ascii="Times New Roman" w:hAnsi="Times New Roman" w:cs="Times New Roman"/>
          <w:sz w:val="18"/>
          <w:szCs w:val="18"/>
        </w:rPr>
        <w:t xml:space="preserve"> </w:t>
      </w:r>
      <w:r w:rsidRPr="00C078E7">
        <w:rPr>
          <w:rFonts w:ascii="Times New Roman" w:hAnsi="Times New Roman" w:cs="Times New Roman"/>
          <w:sz w:val="18"/>
          <w:szCs w:val="18"/>
        </w:rPr>
        <w:t>IKT būvvaldes kārtība) 2.</w:t>
      </w:r>
      <w:r>
        <w:rPr>
          <w:rFonts w:ascii="Times New Roman" w:hAnsi="Times New Roman" w:cs="Times New Roman"/>
          <w:sz w:val="18"/>
          <w:szCs w:val="18"/>
        </w:rPr>
        <w:t xml:space="preserve"> </w:t>
      </w:r>
      <w:r w:rsidRPr="00C078E7">
        <w:rPr>
          <w:rFonts w:ascii="Times New Roman" w:hAnsi="Times New Roman" w:cs="Times New Roman"/>
          <w:sz w:val="18"/>
          <w:szCs w:val="18"/>
        </w:rPr>
        <w:t xml:space="preserve">pielikuma </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Valsts informācijas sistēmas attīstības aktivitātes apraksts</w:t>
      </w:r>
      <w:r w:rsidRPr="00C078E7">
        <w:rPr>
          <w:rFonts w:ascii="Times New Roman" w:hAnsi="Times New Roman" w:cs="Times New Roman"/>
          <w:sz w:val="18"/>
          <w:szCs w:val="18"/>
          <w:shd w:val="clear" w:color="auto" w:fill="FFFFFF"/>
        </w:rPr>
        <w:t>"</w:t>
      </w:r>
      <w:r w:rsidRPr="00C078E7">
        <w:rPr>
          <w:rFonts w:ascii="Times New Roman" w:hAnsi="Times New Roman" w:cs="Times New Roman"/>
          <w:sz w:val="18"/>
          <w:szCs w:val="18"/>
        </w:rPr>
        <w:t xml:space="preserve"> 6.1. apakšpunktā.</w:t>
      </w:r>
    </w:p>
  </w:footnote>
  <w:footnote w:id="8">
    <w:p w14:paraId="0A6C430A" w14:textId="77777777" w:rsidR="00F4356A" w:rsidRPr="00C078E7" w:rsidRDefault="00F4356A" w:rsidP="00F4356A">
      <w:pPr>
        <w:pStyle w:val="FootnoteText"/>
        <w:ind w:left="142" w:hanging="142"/>
        <w:jc w:val="both"/>
        <w:rPr>
          <w:rFonts w:ascii="Times New Roman" w:hAnsi="Times New Roman" w:cs="Times New Roman"/>
          <w:sz w:val="18"/>
          <w:szCs w:val="18"/>
        </w:rPr>
      </w:pPr>
      <w:r w:rsidRPr="00C078E7">
        <w:rPr>
          <w:rStyle w:val="FootnoteReference"/>
          <w:rFonts w:ascii="Times New Roman" w:hAnsi="Times New Roman" w:cs="Times New Roman"/>
          <w:sz w:val="18"/>
          <w:szCs w:val="18"/>
        </w:rPr>
        <w:footnoteRef/>
      </w:r>
      <w:r w:rsidRPr="00C078E7">
        <w:rPr>
          <w:rFonts w:ascii="Times New Roman" w:hAnsi="Times New Roman" w:cs="Times New Roman"/>
          <w:sz w:val="18"/>
          <w:szCs w:val="18"/>
        </w:rPr>
        <w:t xml:space="preserve"> T</w:t>
      </w:r>
      <w:r>
        <w:rPr>
          <w:rFonts w:ascii="Times New Roman" w:hAnsi="Times New Roman" w:cs="Times New Roman"/>
          <w:sz w:val="18"/>
          <w:szCs w:val="18"/>
        </w:rPr>
        <w:t>ā sauktajā</w:t>
      </w:r>
      <w:r w:rsidRPr="00C078E7">
        <w:rPr>
          <w:rFonts w:ascii="Times New Roman" w:hAnsi="Times New Roman" w:cs="Times New Roman"/>
          <w:sz w:val="18"/>
          <w:szCs w:val="18"/>
        </w:rPr>
        <w:t xml:space="preserve"> IKT būvvaldes kārtībā jau saņemtā VARAM saskaņojuma datums vai plānotais termiņš, kad tas tiks saņemts. </w:t>
      </w:r>
    </w:p>
  </w:footnote>
  <w:footnote w:id="9">
    <w:p w14:paraId="765490B3" w14:textId="31A5D83A" w:rsidR="00F4356A" w:rsidRPr="00C078E7" w:rsidRDefault="00F4356A" w:rsidP="00F4356A">
      <w:pPr>
        <w:pStyle w:val="FootnoteText"/>
        <w:ind w:left="142" w:hanging="142"/>
        <w:jc w:val="both"/>
        <w:rPr>
          <w:rFonts w:ascii="Times New Roman" w:hAnsi="Times New Roman" w:cs="Times New Roman"/>
          <w:sz w:val="18"/>
          <w:szCs w:val="18"/>
        </w:rPr>
      </w:pPr>
      <w:r w:rsidRPr="00C078E7">
        <w:rPr>
          <w:rStyle w:val="FootnoteReference"/>
          <w:rFonts w:ascii="Times New Roman" w:hAnsi="Times New Roman" w:cs="Times New Roman"/>
          <w:sz w:val="18"/>
          <w:szCs w:val="18"/>
        </w:rPr>
        <w:footnoteRef/>
      </w:r>
      <w:r w:rsidRPr="00C078E7">
        <w:rPr>
          <w:rFonts w:ascii="Times New Roman" w:hAnsi="Times New Roman" w:cs="Times New Roman"/>
          <w:sz w:val="18"/>
          <w:szCs w:val="18"/>
        </w:rPr>
        <w:t xml:space="preserve"> Ja koplietošanas pakalpojuma attīstības plāns tiek </w:t>
      </w:r>
      <w:r w:rsidR="00B37B57" w:rsidRPr="00C078E7">
        <w:rPr>
          <w:rFonts w:ascii="Times New Roman" w:hAnsi="Times New Roman" w:cs="Times New Roman"/>
          <w:sz w:val="18"/>
          <w:szCs w:val="18"/>
        </w:rPr>
        <w:t xml:space="preserve">iesniegts </w:t>
      </w:r>
      <w:r w:rsidRPr="00C078E7">
        <w:rPr>
          <w:rFonts w:ascii="Times New Roman" w:hAnsi="Times New Roman" w:cs="Times New Roman"/>
          <w:sz w:val="18"/>
          <w:szCs w:val="18"/>
        </w:rPr>
        <w:t xml:space="preserve">vienlaikus ar Ministru kabineta rīkojumu par projekta atlases kārtu, par to pievieno </w:t>
      </w:r>
      <w:r>
        <w:rPr>
          <w:rFonts w:ascii="Times New Roman" w:hAnsi="Times New Roman" w:cs="Times New Roman"/>
          <w:sz w:val="18"/>
          <w:szCs w:val="18"/>
        </w:rPr>
        <w:t xml:space="preserve">attiecīgu </w:t>
      </w:r>
      <w:r w:rsidRPr="00C078E7">
        <w:rPr>
          <w:rFonts w:ascii="Times New Roman" w:hAnsi="Times New Roman" w:cs="Times New Roman"/>
          <w:sz w:val="18"/>
          <w:szCs w:val="18"/>
        </w:rPr>
        <w:t>norādi.</w:t>
      </w:r>
    </w:p>
  </w:footnote>
  <w:footnote w:id="10">
    <w:p w14:paraId="25401A77" w14:textId="77777777" w:rsidR="00F4356A" w:rsidRPr="00C078E7" w:rsidRDefault="00F4356A" w:rsidP="00F4356A">
      <w:pPr>
        <w:pStyle w:val="FootnoteText"/>
        <w:ind w:left="142" w:hanging="142"/>
        <w:jc w:val="both"/>
        <w:rPr>
          <w:sz w:val="18"/>
          <w:szCs w:val="18"/>
        </w:rPr>
      </w:pPr>
      <w:r w:rsidRPr="00C078E7">
        <w:rPr>
          <w:rStyle w:val="FootnoteReference"/>
          <w:rFonts w:ascii="Times New Roman" w:hAnsi="Times New Roman" w:cs="Times New Roman"/>
          <w:sz w:val="18"/>
          <w:szCs w:val="18"/>
        </w:rPr>
        <w:footnoteRef/>
      </w:r>
      <w:r w:rsidRPr="00C078E7">
        <w:rPr>
          <w:rFonts w:ascii="Times New Roman" w:hAnsi="Times New Roman" w:cs="Times New Roman"/>
          <w:sz w:val="18"/>
          <w:szCs w:val="18"/>
        </w:rPr>
        <w:t xml:space="preserve"> Kapitālsabiedrības un pašvaldības norāda arī finanšu kapacitāti atbilstoši finansēšanas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09740330"/>
      <w:docPartObj>
        <w:docPartGallery w:val="Page Numbers (Top of Page)"/>
        <w:docPartUnique/>
      </w:docPartObj>
    </w:sdtPr>
    <w:sdtEndPr/>
    <w:sdtContent>
      <w:p w14:paraId="27440F63" w14:textId="77777777" w:rsidR="00F4356A" w:rsidRPr="00E01899" w:rsidRDefault="00F4356A" w:rsidP="00E01899">
        <w:pPr>
          <w:pStyle w:val="Header"/>
          <w:shd w:val="clear" w:color="auto" w:fill="FFFFFF" w:themeFill="background1"/>
          <w:jc w:val="center"/>
          <w:rPr>
            <w:rFonts w:ascii="Times New Roman" w:hAnsi="Times New Roman" w:cs="Times New Roman"/>
            <w:sz w:val="24"/>
            <w:szCs w:val="24"/>
          </w:rPr>
        </w:pPr>
        <w:r w:rsidRPr="00E01899">
          <w:rPr>
            <w:rFonts w:ascii="Times New Roman" w:hAnsi="Times New Roman" w:cs="Times New Roman"/>
            <w:sz w:val="24"/>
            <w:szCs w:val="24"/>
          </w:rPr>
          <w:fldChar w:fldCharType="begin"/>
        </w:r>
        <w:r w:rsidRPr="00E01899">
          <w:rPr>
            <w:rFonts w:ascii="Times New Roman" w:hAnsi="Times New Roman" w:cs="Times New Roman"/>
            <w:sz w:val="24"/>
            <w:szCs w:val="24"/>
          </w:rPr>
          <w:instrText xml:space="preserve"> PAGE   \* MERGEFORMAT </w:instrText>
        </w:r>
        <w:r w:rsidRPr="00E01899">
          <w:rPr>
            <w:rFonts w:ascii="Times New Roman" w:hAnsi="Times New Roman" w:cs="Times New Roman"/>
            <w:sz w:val="24"/>
            <w:szCs w:val="24"/>
          </w:rPr>
          <w:fldChar w:fldCharType="separate"/>
        </w:r>
        <w:r w:rsidRPr="004840C9">
          <w:rPr>
            <w:rFonts w:ascii="Times New Roman" w:hAnsi="Times New Roman" w:cs="Times New Roman"/>
            <w:sz w:val="24"/>
            <w:szCs w:val="24"/>
          </w:rPr>
          <w:t>2</w:t>
        </w:r>
        <w:r w:rsidRPr="00E01899">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B611" w14:textId="44F2D5D8" w:rsidR="00884D6B" w:rsidRPr="00732CA0" w:rsidRDefault="00884D6B" w:rsidP="00732CA0">
    <w:pPr>
      <w:pStyle w:val="Header"/>
      <w:jc w:val="right"/>
      <w:rPr>
        <w:rFonts w:ascii="Times New Roman" w:hAnsi="Times New Roman" w:cs="Times New Roman"/>
        <w:b/>
        <w:bCs/>
        <w:sz w:val="28"/>
        <w:szCs w:val="28"/>
      </w:rPr>
    </w:pPr>
    <w:r w:rsidRPr="00732CA0">
      <w:rPr>
        <w:rFonts w:ascii="Times New Roman" w:hAnsi="Times New Roman" w:cs="Times New Roman"/>
        <w:b/>
        <w:bCs/>
        <w:sz w:val="28"/>
        <w:szCs w:val="28"/>
      </w:rPr>
      <w:t>Kultūras ministrijas iesniegtajā redakcijā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7B8E"/>
    <w:multiLevelType w:val="hybridMultilevel"/>
    <w:tmpl w:val="D40A35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B83AF8"/>
    <w:multiLevelType w:val="hybridMultilevel"/>
    <w:tmpl w:val="FD5C3A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D74EA0"/>
    <w:multiLevelType w:val="hybridMultilevel"/>
    <w:tmpl w:val="43A68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713D86"/>
    <w:multiLevelType w:val="hybridMultilevel"/>
    <w:tmpl w:val="7BEC9168"/>
    <w:lvl w:ilvl="0" w:tplc="F034A26C">
      <w:start w:val="500"/>
      <w:numFmt w:val="decimal"/>
      <w:lvlText w:val="(%1"/>
      <w:lvlJc w:val="left"/>
      <w:pPr>
        <w:ind w:left="730" w:hanging="370"/>
      </w:pPr>
      <w:rPr>
        <w:rFonts w:hint="default"/>
        <w:b w:val="0"/>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EC63C4"/>
    <w:multiLevelType w:val="hybridMultilevel"/>
    <w:tmpl w:val="CC44EA54"/>
    <w:lvl w:ilvl="0" w:tplc="FFFFFFFF">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9F2441"/>
    <w:multiLevelType w:val="hybridMultilevel"/>
    <w:tmpl w:val="8710F050"/>
    <w:lvl w:ilvl="0" w:tplc="CF00D92C">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E9C7A98"/>
    <w:multiLevelType w:val="hybridMultilevel"/>
    <w:tmpl w:val="BD5C2AE6"/>
    <w:lvl w:ilvl="0" w:tplc="163AF982">
      <w:start w:val="1"/>
      <w:numFmt w:val="bullet"/>
      <w:lvlText w:val=""/>
      <w:lvlJc w:val="left"/>
      <w:pPr>
        <w:ind w:left="720" w:hanging="360"/>
      </w:pPr>
      <w:rPr>
        <w:rFonts w:ascii="Symbol" w:eastAsiaTheme="minorHAnsi" w:hAnsi="Symbol" w:cstheme="minorBid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61F9C"/>
    <w:multiLevelType w:val="hybridMultilevel"/>
    <w:tmpl w:val="A03EF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E43354"/>
    <w:multiLevelType w:val="hybridMultilevel"/>
    <w:tmpl w:val="B24A6628"/>
    <w:lvl w:ilvl="0" w:tplc="C92A069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CC67C3"/>
    <w:multiLevelType w:val="hybridMultilevel"/>
    <w:tmpl w:val="1BFCDBC8"/>
    <w:lvl w:ilvl="0" w:tplc="0F7C5FA8">
      <w:start w:val="1"/>
      <w:numFmt w:val="decimal"/>
      <w:lvlText w:val="%1."/>
      <w:lvlJc w:val="left"/>
      <w:pPr>
        <w:ind w:left="420" w:hanging="360"/>
      </w:pPr>
      <w:rPr>
        <w:rFonts w:ascii="Times New Roman" w:eastAsiaTheme="minorHAnsi" w:hAnsi="Times New Roman" w:cs="Times New Roman"/>
        <w:i/>
        <w:color w:val="747474" w:themeColor="background2" w:themeShade="8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 w15:restartNumberingAfterBreak="0">
    <w:nsid w:val="3FF54C2F"/>
    <w:multiLevelType w:val="multilevel"/>
    <w:tmpl w:val="179E5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F45C7D"/>
    <w:multiLevelType w:val="multilevel"/>
    <w:tmpl w:val="8A3E06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A501B9F"/>
    <w:multiLevelType w:val="multilevel"/>
    <w:tmpl w:val="CC36C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F66129"/>
    <w:multiLevelType w:val="hybridMultilevel"/>
    <w:tmpl w:val="62C239AA"/>
    <w:lvl w:ilvl="0" w:tplc="FDBA50EA">
      <w:start w:val="1"/>
      <w:numFmt w:val="bullet"/>
      <w:lvlText w:val=""/>
      <w:lvlJc w:val="left"/>
      <w:pPr>
        <w:ind w:left="1080" w:hanging="720"/>
      </w:pPr>
      <w:rPr>
        <w:rFonts w:ascii="Symbol" w:hAnsi="Symbol" w:hint="default"/>
      </w:rPr>
    </w:lvl>
    <w:lvl w:ilvl="1" w:tplc="92F2CDFE">
      <w:start w:val="1"/>
      <w:numFmt w:val="bullet"/>
      <w:lvlText w:val="o"/>
      <w:lvlJc w:val="left"/>
      <w:pPr>
        <w:ind w:left="1440" w:hanging="360"/>
      </w:pPr>
      <w:rPr>
        <w:rFonts w:ascii="Courier New" w:hAnsi="Courier New" w:cs="Courier New" w:hint="default"/>
      </w:rPr>
    </w:lvl>
    <w:lvl w:ilvl="2" w:tplc="2326B570" w:tentative="1">
      <w:start w:val="1"/>
      <w:numFmt w:val="bullet"/>
      <w:lvlText w:val=""/>
      <w:lvlJc w:val="left"/>
      <w:pPr>
        <w:ind w:left="2160" w:hanging="360"/>
      </w:pPr>
      <w:rPr>
        <w:rFonts w:ascii="Wingdings" w:hAnsi="Wingdings" w:hint="default"/>
      </w:rPr>
    </w:lvl>
    <w:lvl w:ilvl="3" w:tplc="065AFDF2" w:tentative="1">
      <w:start w:val="1"/>
      <w:numFmt w:val="bullet"/>
      <w:lvlText w:val=""/>
      <w:lvlJc w:val="left"/>
      <w:pPr>
        <w:ind w:left="2880" w:hanging="360"/>
      </w:pPr>
      <w:rPr>
        <w:rFonts w:ascii="Symbol" w:hAnsi="Symbol" w:hint="default"/>
      </w:rPr>
    </w:lvl>
    <w:lvl w:ilvl="4" w:tplc="B11038F8" w:tentative="1">
      <w:start w:val="1"/>
      <w:numFmt w:val="bullet"/>
      <w:lvlText w:val="o"/>
      <w:lvlJc w:val="left"/>
      <w:pPr>
        <w:ind w:left="3600" w:hanging="360"/>
      </w:pPr>
      <w:rPr>
        <w:rFonts w:ascii="Courier New" w:hAnsi="Courier New" w:cs="Courier New" w:hint="default"/>
      </w:rPr>
    </w:lvl>
    <w:lvl w:ilvl="5" w:tplc="14EAB1B2" w:tentative="1">
      <w:start w:val="1"/>
      <w:numFmt w:val="bullet"/>
      <w:lvlText w:val=""/>
      <w:lvlJc w:val="left"/>
      <w:pPr>
        <w:ind w:left="4320" w:hanging="360"/>
      </w:pPr>
      <w:rPr>
        <w:rFonts w:ascii="Wingdings" w:hAnsi="Wingdings" w:hint="default"/>
      </w:rPr>
    </w:lvl>
    <w:lvl w:ilvl="6" w:tplc="A3661B7A" w:tentative="1">
      <w:start w:val="1"/>
      <w:numFmt w:val="bullet"/>
      <w:lvlText w:val=""/>
      <w:lvlJc w:val="left"/>
      <w:pPr>
        <w:ind w:left="5040" w:hanging="360"/>
      </w:pPr>
      <w:rPr>
        <w:rFonts w:ascii="Symbol" w:hAnsi="Symbol" w:hint="default"/>
      </w:rPr>
    </w:lvl>
    <w:lvl w:ilvl="7" w:tplc="73ECAC6A" w:tentative="1">
      <w:start w:val="1"/>
      <w:numFmt w:val="bullet"/>
      <w:lvlText w:val="o"/>
      <w:lvlJc w:val="left"/>
      <w:pPr>
        <w:ind w:left="5760" w:hanging="360"/>
      </w:pPr>
      <w:rPr>
        <w:rFonts w:ascii="Courier New" w:hAnsi="Courier New" w:cs="Courier New" w:hint="default"/>
      </w:rPr>
    </w:lvl>
    <w:lvl w:ilvl="8" w:tplc="03AC4EC2" w:tentative="1">
      <w:start w:val="1"/>
      <w:numFmt w:val="bullet"/>
      <w:lvlText w:val=""/>
      <w:lvlJc w:val="left"/>
      <w:pPr>
        <w:ind w:left="6480" w:hanging="360"/>
      </w:pPr>
      <w:rPr>
        <w:rFonts w:ascii="Wingdings" w:hAnsi="Wingdings" w:hint="default"/>
      </w:rPr>
    </w:lvl>
  </w:abstractNum>
  <w:abstractNum w:abstractNumId="14" w15:restartNumberingAfterBreak="0">
    <w:nsid w:val="51E050C0"/>
    <w:multiLevelType w:val="hybridMultilevel"/>
    <w:tmpl w:val="B72CB8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4627EA2"/>
    <w:multiLevelType w:val="hybridMultilevel"/>
    <w:tmpl w:val="D24076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252F4C"/>
    <w:multiLevelType w:val="multilevel"/>
    <w:tmpl w:val="E2CAD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7073E"/>
    <w:multiLevelType w:val="hybridMultilevel"/>
    <w:tmpl w:val="992CD5A6"/>
    <w:lvl w:ilvl="0" w:tplc="34DA05F2">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BD46D9B"/>
    <w:multiLevelType w:val="hybridMultilevel"/>
    <w:tmpl w:val="6EAE758C"/>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F045C3"/>
    <w:multiLevelType w:val="hybridMultilevel"/>
    <w:tmpl w:val="2B48D53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08D3178"/>
    <w:multiLevelType w:val="hybridMultilevel"/>
    <w:tmpl w:val="178CC78A"/>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9CD12A6"/>
    <w:multiLevelType w:val="multilevel"/>
    <w:tmpl w:val="A0069B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681D2D"/>
    <w:multiLevelType w:val="multilevel"/>
    <w:tmpl w:val="19400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11"/>
  </w:num>
  <w:num w:numId="3">
    <w:abstractNumId w:val="19"/>
  </w:num>
  <w:num w:numId="4">
    <w:abstractNumId w:val="14"/>
  </w:num>
  <w:num w:numId="5">
    <w:abstractNumId w:val="0"/>
  </w:num>
  <w:num w:numId="6">
    <w:abstractNumId w:val="17"/>
  </w:num>
  <w:num w:numId="7">
    <w:abstractNumId w:val="9"/>
  </w:num>
  <w:num w:numId="8">
    <w:abstractNumId w:val="6"/>
  </w:num>
  <w:num w:numId="9">
    <w:abstractNumId w:val="15"/>
  </w:num>
  <w:num w:numId="10">
    <w:abstractNumId w:val="16"/>
  </w:num>
  <w:num w:numId="11">
    <w:abstractNumId w:val="10"/>
  </w:num>
  <w:num w:numId="12">
    <w:abstractNumId w:val="3"/>
  </w:num>
  <w:num w:numId="13">
    <w:abstractNumId w:val="21"/>
  </w:num>
  <w:num w:numId="14">
    <w:abstractNumId w:val="12"/>
  </w:num>
  <w:num w:numId="15">
    <w:abstractNumId w:val="22"/>
  </w:num>
  <w:num w:numId="16">
    <w:abstractNumId w:val="4"/>
  </w:num>
  <w:num w:numId="17">
    <w:abstractNumId w:val="13"/>
  </w:num>
  <w:num w:numId="18">
    <w:abstractNumId w:val="2"/>
  </w:num>
  <w:num w:numId="19">
    <w:abstractNumId w:val="5"/>
  </w:num>
  <w:num w:numId="20">
    <w:abstractNumId w:val="8"/>
  </w:num>
  <w:num w:numId="21">
    <w:abstractNumId w:val="1"/>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6A"/>
    <w:rsid w:val="00042302"/>
    <w:rsid w:val="000771CA"/>
    <w:rsid w:val="000D6C36"/>
    <w:rsid w:val="001A076A"/>
    <w:rsid w:val="001F0D27"/>
    <w:rsid w:val="0021400F"/>
    <w:rsid w:val="00252DA2"/>
    <w:rsid w:val="00276BD9"/>
    <w:rsid w:val="002919CE"/>
    <w:rsid w:val="002A5417"/>
    <w:rsid w:val="002C514F"/>
    <w:rsid w:val="002E6D91"/>
    <w:rsid w:val="0030247B"/>
    <w:rsid w:val="003175E1"/>
    <w:rsid w:val="00350F18"/>
    <w:rsid w:val="003A7BC4"/>
    <w:rsid w:val="003C5E66"/>
    <w:rsid w:val="003E142B"/>
    <w:rsid w:val="003F29A8"/>
    <w:rsid w:val="00436D61"/>
    <w:rsid w:val="00442E49"/>
    <w:rsid w:val="00473A87"/>
    <w:rsid w:val="004C2B06"/>
    <w:rsid w:val="004D4BDC"/>
    <w:rsid w:val="004F4EFF"/>
    <w:rsid w:val="00586DF4"/>
    <w:rsid w:val="005E3950"/>
    <w:rsid w:val="006566A1"/>
    <w:rsid w:val="0068009B"/>
    <w:rsid w:val="006B395F"/>
    <w:rsid w:val="006B6BDB"/>
    <w:rsid w:val="006E36D8"/>
    <w:rsid w:val="006E4442"/>
    <w:rsid w:val="006F6153"/>
    <w:rsid w:val="007221FA"/>
    <w:rsid w:val="00732CA0"/>
    <w:rsid w:val="00786073"/>
    <w:rsid w:val="00804C93"/>
    <w:rsid w:val="00851DD4"/>
    <w:rsid w:val="0087653F"/>
    <w:rsid w:val="00877E5C"/>
    <w:rsid w:val="00884D6B"/>
    <w:rsid w:val="008C0A19"/>
    <w:rsid w:val="008E4772"/>
    <w:rsid w:val="008F3AED"/>
    <w:rsid w:val="008F7EC9"/>
    <w:rsid w:val="00912EBE"/>
    <w:rsid w:val="00915B5F"/>
    <w:rsid w:val="0099687C"/>
    <w:rsid w:val="009A507A"/>
    <w:rsid w:val="009B5588"/>
    <w:rsid w:val="00A01C41"/>
    <w:rsid w:val="00A07F6A"/>
    <w:rsid w:val="00AB4D11"/>
    <w:rsid w:val="00B37B57"/>
    <w:rsid w:val="00BA4E14"/>
    <w:rsid w:val="00BD536D"/>
    <w:rsid w:val="00BE042C"/>
    <w:rsid w:val="00C835F1"/>
    <w:rsid w:val="00C87788"/>
    <w:rsid w:val="00D10B91"/>
    <w:rsid w:val="00D42161"/>
    <w:rsid w:val="00D63DFC"/>
    <w:rsid w:val="00D71A8A"/>
    <w:rsid w:val="00D95D82"/>
    <w:rsid w:val="00E16BFF"/>
    <w:rsid w:val="00E52FE5"/>
    <w:rsid w:val="00E8365D"/>
    <w:rsid w:val="00EF27CF"/>
    <w:rsid w:val="00F43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B1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56A"/>
    <w:rPr>
      <w:kern w:val="0"/>
      <w14:ligatures w14:val="none"/>
    </w:rPr>
  </w:style>
  <w:style w:type="paragraph" w:styleId="Heading1">
    <w:name w:val="heading 1"/>
    <w:basedOn w:val="Normal"/>
    <w:next w:val="Normal"/>
    <w:link w:val="Heading1Char"/>
    <w:uiPriority w:val="9"/>
    <w:qFormat/>
    <w:rsid w:val="00F43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56A"/>
    <w:rPr>
      <w:rFonts w:eastAsiaTheme="majorEastAsia" w:cstheme="majorBidi"/>
      <w:color w:val="272727" w:themeColor="text1" w:themeTint="D8"/>
    </w:rPr>
  </w:style>
  <w:style w:type="paragraph" w:styleId="Title">
    <w:name w:val="Title"/>
    <w:basedOn w:val="Normal"/>
    <w:next w:val="Normal"/>
    <w:link w:val="TitleChar"/>
    <w:uiPriority w:val="10"/>
    <w:qFormat/>
    <w:rsid w:val="00F43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56A"/>
    <w:pPr>
      <w:spacing w:before="160"/>
      <w:jc w:val="center"/>
    </w:pPr>
    <w:rPr>
      <w:i/>
      <w:iCs/>
      <w:color w:val="404040" w:themeColor="text1" w:themeTint="BF"/>
    </w:rPr>
  </w:style>
  <w:style w:type="character" w:customStyle="1" w:styleId="QuoteChar">
    <w:name w:val="Quote Char"/>
    <w:basedOn w:val="DefaultParagraphFont"/>
    <w:link w:val="Quote"/>
    <w:uiPriority w:val="29"/>
    <w:rsid w:val="00F4356A"/>
    <w:rPr>
      <w:i/>
      <w:iCs/>
      <w:color w:val="404040" w:themeColor="text1" w:themeTint="BF"/>
    </w:rPr>
  </w:style>
  <w:style w:type="paragraph" w:styleId="ListParagraph">
    <w:name w:val="List Paragraph"/>
    <w:aliases w:val="H&amp;P List Paragraph,2,Strip,Saraksta rindkopa1,Normal bullet 2,Bullet list"/>
    <w:basedOn w:val="Normal"/>
    <w:link w:val="ListParagraphChar"/>
    <w:uiPriority w:val="34"/>
    <w:qFormat/>
    <w:rsid w:val="00F4356A"/>
    <w:pPr>
      <w:ind w:left="720"/>
      <w:contextualSpacing/>
    </w:pPr>
  </w:style>
  <w:style w:type="character" w:styleId="IntenseEmphasis">
    <w:name w:val="Intense Emphasis"/>
    <w:basedOn w:val="DefaultParagraphFont"/>
    <w:uiPriority w:val="21"/>
    <w:qFormat/>
    <w:rsid w:val="00F4356A"/>
    <w:rPr>
      <w:i/>
      <w:iCs/>
      <w:color w:val="0F4761" w:themeColor="accent1" w:themeShade="BF"/>
    </w:rPr>
  </w:style>
  <w:style w:type="paragraph" w:styleId="IntenseQuote">
    <w:name w:val="Intense Quote"/>
    <w:basedOn w:val="Normal"/>
    <w:next w:val="Normal"/>
    <w:link w:val="IntenseQuoteChar"/>
    <w:uiPriority w:val="30"/>
    <w:qFormat/>
    <w:rsid w:val="00F43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56A"/>
    <w:rPr>
      <w:i/>
      <w:iCs/>
      <w:color w:val="0F4761" w:themeColor="accent1" w:themeShade="BF"/>
    </w:rPr>
  </w:style>
  <w:style w:type="character" w:styleId="IntenseReference">
    <w:name w:val="Intense Reference"/>
    <w:basedOn w:val="DefaultParagraphFont"/>
    <w:uiPriority w:val="32"/>
    <w:qFormat/>
    <w:rsid w:val="00F4356A"/>
    <w:rPr>
      <w:b/>
      <w:bCs/>
      <w:smallCaps/>
      <w:color w:val="0F4761" w:themeColor="accent1" w:themeShade="BF"/>
      <w:spacing w:val="5"/>
    </w:rPr>
  </w:style>
  <w:style w:type="table" w:styleId="TableGrid">
    <w:name w:val="Table Grid"/>
    <w:basedOn w:val="TableNormal"/>
    <w:uiPriority w:val="39"/>
    <w:rsid w:val="00F435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356A"/>
    <w:rPr>
      <w:sz w:val="16"/>
      <w:szCs w:val="16"/>
    </w:rPr>
  </w:style>
  <w:style w:type="paragraph" w:styleId="CommentText">
    <w:name w:val="annotation text"/>
    <w:basedOn w:val="Normal"/>
    <w:link w:val="CommentTextChar"/>
    <w:uiPriority w:val="99"/>
    <w:unhideWhenUsed/>
    <w:rsid w:val="00F4356A"/>
    <w:pPr>
      <w:spacing w:line="240" w:lineRule="auto"/>
    </w:pPr>
    <w:rPr>
      <w:sz w:val="20"/>
      <w:szCs w:val="20"/>
    </w:rPr>
  </w:style>
  <w:style w:type="character" w:customStyle="1" w:styleId="CommentTextChar">
    <w:name w:val="Comment Text Char"/>
    <w:basedOn w:val="DefaultParagraphFont"/>
    <w:link w:val="CommentText"/>
    <w:uiPriority w:val="99"/>
    <w:rsid w:val="00F4356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356A"/>
    <w:rPr>
      <w:b/>
      <w:bCs/>
    </w:rPr>
  </w:style>
  <w:style w:type="character" w:customStyle="1" w:styleId="CommentSubjectChar">
    <w:name w:val="Comment Subject Char"/>
    <w:basedOn w:val="CommentTextChar"/>
    <w:link w:val="CommentSubject"/>
    <w:uiPriority w:val="99"/>
    <w:semiHidden/>
    <w:rsid w:val="00F4356A"/>
    <w:rPr>
      <w:b/>
      <w:bCs/>
      <w:kern w:val="0"/>
      <w:sz w:val="20"/>
      <w:szCs w:val="20"/>
      <w14:ligatures w14:val="none"/>
    </w:rPr>
  </w:style>
  <w:style w:type="paragraph" w:styleId="BalloonText">
    <w:name w:val="Balloon Text"/>
    <w:basedOn w:val="Normal"/>
    <w:link w:val="BalloonTextChar"/>
    <w:uiPriority w:val="99"/>
    <w:semiHidden/>
    <w:unhideWhenUsed/>
    <w:rsid w:val="00F43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56A"/>
    <w:rPr>
      <w:rFonts w:ascii="Segoe UI" w:hAnsi="Segoe UI" w:cs="Segoe UI"/>
      <w:kern w:val="0"/>
      <w:sz w:val="18"/>
      <w:szCs w:val="18"/>
      <w14:ligatures w14:val="none"/>
    </w:rPr>
  </w:style>
  <w:style w:type="paragraph" w:styleId="FootnoteText">
    <w:name w:val="footnote text"/>
    <w:basedOn w:val="Normal"/>
    <w:link w:val="FootnoteTextChar"/>
    <w:uiPriority w:val="99"/>
    <w:unhideWhenUsed/>
    <w:rsid w:val="00F4356A"/>
    <w:pPr>
      <w:spacing w:after="0" w:line="240" w:lineRule="auto"/>
    </w:pPr>
    <w:rPr>
      <w:sz w:val="20"/>
      <w:szCs w:val="20"/>
    </w:rPr>
  </w:style>
  <w:style w:type="character" w:customStyle="1" w:styleId="FootnoteTextChar">
    <w:name w:val="Footnote Text Char"/>
    <w:basedOn w:val="DefaultParagraphFont"/>
    <w:link w:val="FootnoteText"/>
    <w:uiPriority w:val="99"/>
    <w:rsid w:val="00F4356A"/>
    <w:rPr>
      <w:kern w:val="0"/>
      <w:sz w:val="20"/>
      <w:szCs w:val="20"/>
      <w14:ligatures w14:val="none"/>
    </w:rPr>
  </w:style>
  <w:style w:type="character" w:styleId="FootnoteReference">
    <w:name w:val="footnote reference"/>
    <w:basedOn w:val="DefaultParagraphFont"/>
    <w:uiPriority w:val="99"/>
    <w:semiHidden/>
    <w:unhideWhenUsed/>
    <w:rsid w:val="00F4356A"/>
    <w:rPr>
      <w:vertAlign w:val="superscript"/>
    </w:rPr>
  </w:style>
  <w:style w:type="paragraph" w:styleId="Header">
    <w:name w:val="header"/>
    <w:basedOn w:val="Normal"/>
    <w:link w:val="HeaderChar"/>
    <w:uiPriority w:val="99"/>
    <w:unhideWhenUsed/>
    <w:rsid w:val="00F435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356A"/>
    <w:rPr>
      <w:kern w:val="0"/>
      <w14:ligatures w14:val="none"/>
    </w:rPr>
  </w:style>
  <w:style w:type="paragraph" w:styleId="Footer">
    <w:name w:val="footer"/>
    <w:basedOn w:val="Normal"/>
    <w:link w:val="FooterChar"/>
    <w:uiPriority w:val="99"/>
    <w:unhideWhenUsed/>
    <w:rsid w:val="00F435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356A"/>
    <w:rPr>
      <w:kern w:val="0"/>
      <w14:ligatures w14:val="none"/>
    </w:rPr>
  </w:style>
  <w:style w:type="character" w:styleId="Hyperlink">
    <w:name w:val="Hyperlink"/>
    <w:basedOn w:val="DefaultParagraphFont"/>
    <w:uiPriority w:val="99"/>
    <w:unhideWhenUsed/>
    <w:rsid w:val="00F4356A"/>
    <w:rPr>
      <w:color w:val="467886" w:themeColor="hyperlink"/>
      <w:u w:val="single"/>
    </w:rPr>
  </w:style>
  <w:style w:type="paragraph" w:customStyle="1" w:styleId="paragraph">
    <w:name w:val="paragraph"/>
    <w:basedOn w:val="Normal"/>
    <w:rsid w:val="00F4356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F4356A"/>
  </w:style>
  <w:style w:type="character" w:customStyle="1" w:styleId="eop">
    <w:name w:val="eop"/>
    <w:basedOn w:val="DefaultParagraphFont"/>
    <w:rsid w:val="00F4356A"/>
  </w:style>
  <w:style w:type="table" w:customStyle="1" w:styleId="TableGrid1">
    <w:name w:val="Table Grid1"/>
    <w:basedOn w:val="TableNormal"/>
    <w:next w:val="TableGrid"/>
    <w:uiPriority w:val="39"/>
    <w:rsid w:val="00F435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4356A"/>
    <w:rPr>
      <w:color w:val="605E5C"/>
      <w:shd w:val="clear" w:color="auto" w:fill="E1DFDD"/>
    </w:rPr>
  </w:style>
  <w:style w:type="paragraph" w:styleId="Revision">
    <w:name w:val="Revision"/>
    <w:hidden/>
    <w:uiPriority w:val="99"/>
    <w:semiHidden/>
    <w:rsid w:val="00F4356A"/>
    <w:pPr>
      <w:spacing w:after="0" w:line="240" w:lineRule="auto"/>
    </w:pPr>
    <w:rPr>
      <w:kern w:val="0"/>
      <w14:ligatures w14:val="none"/>
    </w:rPr>
  </w:style>
  <w:style w:type="paragraph" w:customStyle="1" w:styleId="VPBody">
    <w:name w:val="VP Body"/>
    <w:basedOn w:val="Normal"/>
    <w:qFormat/>
    <w:rsid w:val="00F4356A"/>
    <w:pPr>
      <w:tabs>
        <w:tab w:val="left" w:pos="0"/>
      </w:tabs>
      <w:spacing w:before="80" w:after="80" w:line="240" w:lineRule="auto"/>
      <w:jc w:val="both"/>
    </w:pPr>
    <w:rPr>
      <w:rFonts w:ascii="Times New Roman" w:hAnsi="Times New Roman" w:cs="Times New Roman"/>
      <w:bCs/>
      <w:sz w:val="24"/>
    </w:r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F4356A"/>
  </w:style>
  <w:style w:type="character" w:styleId="Mention">
    <w:name w:val="Mention"/>
    <w:basedOn w:val="DefaultParagraphFont"/>
    <w:uiPriority w:val="99"/>
    <w:unhideWhenUsed/>
    <w:rsid w:val="00F4356A"/>
    <w:rPr>
      <w:color w:val="2B579A"/>
      <w:shd w:val="clear" w:color="auto" w:fill="E6E6E6"/>
    </w:rPr>
  </w:style>
  <w:style w:type="character" w:styleId="Strong">
    <w:name w:val="Strong"/>
    <w:basedOn w:val="DefaultParagraphFont"/>
    <w:uiPriority w:val="22"/>
    <w:qFormat/>
    <w:rsid w:val="00F4356A"/>
    <w:rPr>
      <w:b/>
      <w:bCs/>
    </w:rPr>
  </w:style>
  <w:style w:type="character" w:styleId="FollowedHyperlink">
    <w:name w:val="FollowedHyperlink"/>
    <w:basedOn w:val="DefaultParagraphFont"/>
    <w:uiPriority w:val="99"/>
    <w:semiHidden/>
    <w:unhideWhenUsed/>
    <w:rsid w:val="00F4356A"/>
    <w:rPr>
      <w:color w:val="96607D" w:themeColor="followedHyperlink"/>
      <w:u w:val="single"/>
    </w:rPr>
  </w:style>
  <w:style w:type="character" w:styleId="Emphasis">
    <w:name w:val="Emphasis"/>
    <w:basedOn w:val="DefaultParagraphFont"/>
    <w:uiPriority w:val="20"/>
    <w:qFormat/>
    <w:rsid w:val="00F4356A"/>
    <w:rPr>
      <w:i/>
      <w:iCs/>
    </w:rPr>
  </w:style>
  <w:style w:type="paragraph" w:customStyle="1" w:styleId="placeholderparagraph">
    <w:name w:val="placeholder_paragraph"/>
    <w:qFormat/>
    <w:rsid w:val="00F4356A"/>
    <w:rPr>
      <w:rFonts w:ascii="Times New Roman" w:hAnsi="Times New Roman" w:cs="Times New Roman"/>
      <w:kern w:val="0"/>
      <w:sz w:val="28"/>
      <w14:ligatures w14:val="none"/>
    </w:rPr>
  </w:style>
  <w:style w:type="paragraph" w:customStyle="1" w:styleId="placeholderparagraph0">
    <w:name w:val="placeholder_paragraph0"/>
    <w:qFormat/>
    <w:rsid w:val="00F4356A"/>
    <w:rPr>
      <w:rFonts w:ascii="Times New Roman" w:hAnsi="Times New Roman" w:cs="Times New Roman"/>
      <w:kern w:val="0"/>
      <w:sz w:val="28"/>
      <w14:ligatures w14:val="none"/>
    </w:rPr>
  </w:style>
  <w:style w:type="character" w:customStyle="1" w:styleId="data-node--79fd07d3-f3e6-452a-a236-8ad6df610181">
    <w:name w:val="data-node--79fd07d3-f3e6-452a-a236-8ad6df610181"/>
    <w:basedOn w:val="DefaultParagraphFont"/>
    <w:rsid w:val="00884D6B"/>
  </w:style>
  <w:style w:type="character" w:customStyle="1" w:styleId="data-node--d015f04e-3b66-47a0-9b87-b15f063f3b50">
    <w:name w:val="data-node--d015f04e-3b66-47a0-9b87-b15f063f3b50"/>
    <w:basedOn w:val="DefaultParagraphFont"/>
    <w:rsid w:val="00884D6B"/>
  </w:style>
  <w:style w:type="character" w:customStyle="1" w:styleId="data-node--3ec711f1-25e8-4400-b734-bf1ba6eb9113">
    <w:name w:val="data-node--3ec711f1-25e8-4400-b734-bf1ba6eb9113"/>
    <w:basedOn w:val="DefaultParagraphFont"/>
    <w:rsid w:val="00884D6B"/>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43923">
      <w:bodyDiv w:val="1"/>
      <w:marLeft w:val="0"/>
      <w:marRight w:val="0"/>
      <w:marTop w:val="0"/>
      <w:marBottom w:val="0"/>
      <w:divBdr>
        <w:top w:val="none" w:sz="0" w:space="0" w:color="auto"/>
        <w:left w:val="none" w:sz="0" w:space="0" w:color="auto"/>
        <w:bottom w:val="none" w:sz="0" w:space="0" w:color="auto"/>
        <w:right w:val="none" w:sz="0" w:space="0" w:color="auto"/>
      </w:divBdr>
    </w:div>
    <w:div w:id="1883636510">
      <w:bodyDiv w:val="1"/>
      <w:marLeft w:val="0"/>
      <w:marRight w:val="0"/>
      <w:marTop w:val="0"/>
      <w:marBottom w:val="0"/>
      <w:divBdr>
        <w:top w:val="none" w:sz="0" w:space="0" w:color="auto"/>
        <w:left w:val="none" w:sz="0" w:space="0" w:color="auto"/>
        <w:bottom w:val="none" w:sz="0" w:space="0" w:color="auto"/>
        <w:right w:val="none" w:sz="0" w:space="0" w:color="auto"/>
      </w:divBdr>
      <w:divsChild>
        <w:div w:id="1345591703">
          <w:marLeft w:val="0"/>
          <w:marRight w:val="0"/>
          <w:marTop w:val="0"/>
          <w:marBottom w:val="0"/>
          <w:divBdr>
            <w:top w:val="none" w:sz="0" w:space="0" w:color="auto"/>
            <w:left w:val="none" w:sz="0" w:space="0" w:color="auto"/>
            <w:bottom w:val="none" w:sz="0" w:space="0" w:color="auto"/>
            <w:right w:val="none" w:sz="0" w:space="0" w:color="auto"/>
          </w:divBdr>
        </w:div>
        <w:div w:id="942880237">
          <w:marLeft w:val="0"/>
          <w:marRight w:val="0"/>
          <w:marTop w:val="0"/>
          <w:marBottom w:val="0"/>
          <w:divBdr>
            <w:top w:val="none" w:sz="0" w:space="0" w:color="auto"/>
            <w:left w:val="none" w:sz="0" w:space="0" w:color="auto"/>
            <w:bottom w:val="none" w:sz="0" w:space="0" w:color="auto"/>
            <w:right w:val="none" w:sz="0" w:space="0" w:color="auto"/>
          </w:divBdr>
        </w:div>
        <w:div w:id="180153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sursi.arhivi.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m.gov.lv/lv/media/11801/download"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esursi.arhivi.gov.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antojums.lv" TargetMode="External"/><Relationship Id="rId4" Type="http://schemas.openxmlformats.org/officeDocument/2006/relationships/webSettings" Target="webSettings.xml"/><Relationship Id="rId9" Type="http://schemas.openxmlformats.org/officeDocument/2006/relationships/hyperlink" Target="http://www.nmkk.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16422</Words>
  <Characters>9361</Characters>
  <Application>Microsoft Office Word</Application>
  <DocSecurity>0</DocSecurity>
  <Lines>78</Lines>
  <Paragraphs>51</Paragraphs>
  <ScaleCrop>false</ScaleCrop>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2026-04-07T13:31:00Z</dcterms:created>
  <dcterms:modified xsi:type="dcterms:W3CDTF">2026-04-07T13:32:00Z</dcterms:modified>
</cp:coreProperties>
</file>