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DB" w:rsidRPr="00A91EAF" w:rsidRDefault="008313DB" w:rsidP="008313DB">
      <w:pPr>
        <w:spacing w:before="130" w:after="0" w:line="260" w:lineRule="exact"/>
        <w:ind w:firstLine="539"/>
        <w:jc w:val="right"/>
        <w:rPr>
          <w:rFonts w:ascii="Cambria" w:hAnsi="Cambria"/>
          <w:sz w:val="19"/>
          <w:szCs w:val="28"/>
        </w:rPr>
      </w:pPr>
      <w:r w:rsidRPr="00A91EAF">
        <w:rPr>
          <w:rFonts w:ascii="Cambria" w:hAnsi="Cambria"/>
          <w:sz w:val="19"/>
          <w:szCs w:val="28"/>
        </w:rPr>
        <w:t xml:space="preserve">5. pielikums </w:t>
      </w:r>
      <w:r>
        <w:rPr>
          <w:rFonts w:ascii="Cambria" w:hAnsi="Cambria"/>
          <w:sz w:val="19"/>
          <w:szCs w:val="28"/>
        </w:rPr>
        <w:br/>
      </w:r>
      <w:r w:rsidRPr="00A91EAF">
        <w:rPr>
          <w:rFonts w:ascii="Cambria" w:hAnsi="Cambria"/>
          <w:sz w:val="19"/>
          <w:szCs w:val="28"/>
        </w:rPr>
        <w:t xml:space="preserve">Ministru kabineta </w:t>
      </w:r>
      <w:r>
        <w:rPr>
          <w:rFonts w:ascii="Cambria" w:hAnsi="Cambria"/>
          <w:sz w:val="19"/>
          <w:szCs w:val="28"/>
        </w:rPr>
        <w:br/>
      </w:r>
      <w:r w:rsidRPr="00A91EAF">
        <w:rPr>
          <w:rFonts w:ascii="Cambria" w:hAnsi="Cambria"/>
          <w:sz w:val="19"/>
          <w:szCs w:val="28"/>
        </w:rPr>
        <w:t>2020. gada 2. septembra</w:t>
      </w:r>
      <w:r>
        <w:rPr>
          <w:rFonts w:ascii="Cambria" w:hAnsi="Cambria"/>
          <w:sz w:val="19"/>
          <w:szCs w:val="28"/>
        </w:rPr>
        <w:br/>
      </w:r>
      <w:r w:rsidRPr="00A91EAF">
        <w:rPr>
          <w:rFonts w:ascii="Cambria" w:hAnsi="Cambria"/>
          <w:sz w:val="19"/>
          <w:szCs w:val="28"/>
        </w:rPr>
        <w:t>noteikumiem Nr. 560</w:t>
      </w:r>
    </w:p>
    <w:p w:rsidR="008313DB" w:rsidRPr="00A91EAF" w:rsidRDefault="008313DB" w:rsidP="008313DB">
      <w:pPr>
        <w:shd w:val="clear" w:color="auto" w:fill="FFFFFF"/>
        <w:spacing w:before="360" w:after="0" w:line="240" w:lineRule="auto"/>
        <w:ind w:left="567" w:right="567"/>
        <w:jc w:val="center"/>
        <w:rPr>
          <w:rFonts w:ascii="Cambria" w:hAnsi="Cambria"/>
          <w:b/>
          <w:bCs/>
          <w:szCs w:val="24"/>
        </w:rPr>
      </w:pPr>
      <w:r w:rsidRPr="00A91EAF">
        <w:rPr>
          <w:rFonts w:ascii="Cambria" w:hAnsi="Cambria"/>
          <w:b/>
          <w:bCs/>
          <w:szCs w:val="24"/>
        </w:rPr>
        <w:t>Kvalitātes vērtēšanas kritēriji</w:t>
      </w:r>
    </w:p>
    <w:p w:rsidR="008313DB" w:rsidRPr="00A91EAF" w:rsidRDefault="008313DB" w:rsidP="008313DB">
      <w:pPr>
        <w:shd w:val="clear" w:color="auto" w:fill="FFFFFF"/>
        <w:spacing w:before="130" w:after="0" w:line="260" w:lineRule="exact"/>
        <w:ind w:firstLine="539"/>
        <w:jc w:val="both"/>
        <w:rPr>
          <w:rFonts w:ascii="Cambria" w:eastAsia="Times New Roman" w:hAnsi="Cambria"/>
          <w:bCs/>
          <w:sz w:val="19"/>
          <w:szCs w:val="24"/>
          <w:shd w:val="clear" w:color="auto" w:fill="FFFF0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0"/>
        <w:gridCol w:w="6196"/>
        <w:gridCol w:w="1370"/>
      </w:tblGrid>
      <w:tr w:rsidR="008313DB" w:rsidRPr="00A91EAF" w:rsidTr="00F3237E">
        <w:tc>
          <w:tcPr>
            <w:tcW w:w="765" w:type="dxa"/>
            <w:tcMar>
              <w:top w:w="20" w:type="dxa"/>
              <w:left w:w="20" w:type="dxa"/>
              <w:bottom w:w="20" w:type="dxa"/>
              <w:right w:w="20" w:type="dxa"/>
            </w:tcMar>
            <w:vAlign w:val="cente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Nr.</w:t>
            </w:r>
            <w:r w:rsidRPr="00A91EAF">
              <w:rPr>
                <w:rFonts w:ascii="Cambria" w:eastAsia="Times New Roman" w:hAnsi="Cambria"/>
                <w:sz w:val="19"/>
                <w:szCs w:val="24"/>
                <w:lang w:eastAsia="lv-LV"/>
              </w:rPr>
              <w:br/>
              <w:t>p. k.</w:t>
            </w:r>
          </w:p>
        </w:tc>
        <w:tc>
          <w:tcPr>
            <w:tcW w:w="6851" w:type="dxa"/>
            <w:tcMar>
              <w:top w:w="20" w:type="dxa"/>
              <w:left w:w="20" w:type="dxa"/>
              <w:bottom w:w="20" w:type="dxa"/>
              <w:right w:w="20" w:type="dxa"/>
            </w:tcMar>
            <w:vAlign w:val="cente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Vērtēšanas kritēriji</w:t>
            </w:r>
          </w:p>
        </w:tc>
        <w:tc>
          <w:tcPr>
            <w:tcW w:w="1448" w:type="dxa"/>
            <w:tcMar>
              <w:top w:w="20" w:type="dxa"/>
              <w:left w:w="20" w:type="dxa"/>
              <w:bottom w:w="20" w:type="dxa"/>
              <w:right w:w="20" w:type="dxa"/>
            </w:tcMar>
            <w:vAlign w:val="cente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Atzīme par atbilstību</w:t>
            </w: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1.</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hAnsi="Cambria" w:cs="Times New Roman"/>
                <w:sz w:val="19"/>
              </w:rPr>
            </w:pPr>
            <w:r w:rsidRPr="00A91EAF">
              <w:rPr>
                <w:rFonts w:ascii="Cambria" w:eastAsia="Times New Roman" w:hAnsi="Cambria"/>
                <w:sz w:val="19"/>
                <w:szCs w:val="24"/>
                <w:lang w:eastAsia="lv-LV"/>
              </w:rPr>
              <w:t>Elektroenerģija tiek ražota koģenerācijas procesā, un vismaz 50 % no saražotā siltumenerģijas daudzuma, kas paliek pāri no tā izmantošanas elektrostacijas pašas vajadzībām, tiek izmantoti lietderīgi. Par siltumenerģijas lietderīgu izlietojumu komersants kopā ar iesniegumu ir iesniedzis siltumenerģijas pārdošanas līguma vai nodomu protokola par siltumenerģijas pārdošanu apliecinātu kopiju. Koģenerācijas elektrostacijas tehnoloģiskais pašpatēriņš nedrīkst pārsniegt 30 % no koģenerācijas elektrostacijā saražotās siltumenerģijas</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2.</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Komersants kopā ar iesniegumu ir iesniedzis dokumentus, kas apliecina enerģijas ražošanai nepieciešamo izejvielu esību vai piegādi, un izejvielu piegādes attālums nepārsniedz 50 km</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Komersants kopā ar iesniegumu iesniedzamajā elektrostacijas aprakstā norādījis, ka biogāzes ražošanas iekārtā kā izejvielu biogāzes ražošanai lietos šādus materiālus:</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3.1.</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 xml:space="preserve">pārtikas atkritumus un citus organiskas izcelsmes atkritumus, ražošanas </w:t>
            </w:r>
            <w:proofErr w:type="spellStart"/>
            <w:r w:rsidRPr="00A91EAF">
              <w:rPr>
                <w:rFonts w:ascii="Cambria" w:eastAsia="Times New Roman" w:hAnsi="Cambria"/>
                <w:sz w:val="19"/>
                <w:szCs w:val="24"/>
                <w:lang w:eastAsia="lv-LV"/>
              </w:rPr>
              <w:t>atlikumproduktus</w:t>
            </w:r>
            <w:proofErr w:type="spellEnd"/>
            <w:r w:rsidRPr="00A91EAF">
              <w:rPr>
                <w:rFonts w:ascii="Cambria" w:eastAsia="Times New Roman" w:hAnsi="Cambria"/>
                <w:sz w:val="19"/>
                <w:szCs w:val="24"/>
                <w:lang w:eastAsia="lv-LV"/>
              </w:rPr>
              <w:t xml:space="preserve"> (procentos no kopējā lietoto izejvielu daudzuma (tonnās vai m</w:t>
            </w:r>
            <w:r w:rsidRPr="00A91EAF">
              <w:rPr>
                <w:rFonts w:ascii="Cambria" w:eastAsia="Times New Roman" w:hAnsi="Cambria"/>
                <w:sz w:val="19"/>
                <w:szCs w:val="24"/>
                <w:vertAlign w:val="superscript"/>
                <w:lang w:eastAsia="lv-LV"/>
              </w:rPr>
              <w:t>3</w:t>
            </w:r>
            <w:r w:rsidRPr="00A91EAF">
              <w:rPr>
                <w:rFonts w:ascii="Cambria" w:eastAsia="Times New Roman" w:hAnsi="Cambria"/>
                <w:sz w:val="19"/>
                <w:szCs w:val="24"/>
                <w:lang w:eastAsia="lv-LV"/>
              </w:rPr>
              <w:t xml:space="preserve">)): </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3.1.1.</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 xml:space="preserve">1–20 % apmērā </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3.1.2.</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 xml:space="preserve">21–40 % apmērā </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3.1.3.</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41–60 % apmērā</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3.1.4.</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61–80 % apmērā</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3.1.5.</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81–100 % apmērā</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3.2.</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 xml:space="preserve">lopkopības un putnkopības </w:t>
            </w:r>
            <w:proofErr w:type="spellStart"/>
            <w:r w:rsidRPr="00A91EAF">
              <w:rPr>
                <w:rFonts w:ascii="Cambria" w:eastAsia="Times New Roman" w:hAnsi="Cambria"/>
                <w:sz w:val="19"/>
                <w:szCs w:val="24"/>
                <w:lang w:eastAsia="lv-LV"/>
              </w:rPr>
              <w:t>atlikumproduktus</w:t>
            </w:r>
            <w:proofErr w:type="spellEnd"/>
            <w:r w:rsidRPr="00A91EAF">
              <w:rPr>
                <w:rFonts w:ascii="Cambria" w:eastAsia="Times New Roman" w:hAnsi="Cambria"/>
                <w:sz w:val="19"/>
                <w:szCs w:val="24"/>
                <w:lang w:eastAsia="lv-LV"/>
              </w:rPr>
              <w:t xml:space="preserve"> (mēslus), kā arī pārtikas rūpniecības uzņēmumu notekūdeņus un ražošanas </w:t>
            </w:r>
            <w:proofErr w:type="spellStart"/>
            <w:r w:rsidRPr="00A91EAF">
              <w:rPr>
                <w:rFonts w:ascii="Cambria" w:eastAsia="Times New Roman" w:hAnsi="Cambria"/>
                <w:sz w:val="19"/>
                <w:szCs w:val="24"/>
                <w:lang w:eastAsia="lv-LV"/>
              </w:rPr>
              <w:t>atlikumproduktus</w:t>
            </w:r>
            <w:proofErr w:type="spellEnd"/>
            <w:r w:rsidRPr="00A91EAF">
              <w:rPr>
                <w:rFonts w:ascii="Cambria" w:eastAsia="Times New Roman" w:hAnsi="Cambria"/>
                <w:sz w:val="19"/>
                <w:szCs w:val="24"/>
                <w:lang w:eastAsia="lv-LV"/>
              </w:rPr>
              <w:t xml:space="preserve"> (procentos no kopējā lietoto izejvielu daudzuma (tonnās vai m</w:t>
            </w:r>
            <w:r w:rsidRPr="00A91EAF">
              <w:rPr>
                <w:rFonts w:ascii="Cambria" w:eastAsia="Times New Roman" w:hAnsi="Cambria"/>
                <w:sz w:val="19"/>
                <w:szCs w:val="24"/>
                <w:vertAlign w:val="superscript"/>
                <w:lang w:eastAsia="lv-LV"/>
              </w:rPr>
              <w:t>3</w:t>
            </w:r>
            <w:r w:rsidRPr="00A91EAF">
              <w:rPr>
                <w:rFonts w:ascii="Cambria" w:eastAsia="Times New Roman" w:hAnsi="Cambria"/>
                <w:sz w:val="19"/>
                <w:szCs w:val="24"/>
                <w:lang w:eastAsia="lv-LV"/>
              </w:rPr>
              <w:t>)):</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3.2.1.</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 xml:space="preserve">1–20 % apmērā </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3.2.2.</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 xml:space="preserve">21–40 % apmērā </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3.2.3.</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 xml:space="preserve">41–60 % apmērā </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3.2.4.</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 xml:space="preserve">61–80 % apmērā </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r w:rsidR="008313DB" w:rsidRPr="00A91EAF" w:rsidTr="00F3237E">
        <w:tc>
          <w:tcPr>
            <w:tcW w:w="765" w:type="dxa"/>
            <w:tcMar>
              <w:top w:w="20" w:type="dxa"/>
              <w:left w:w="20" w:type="dxa"/>
              <w:bottom w:w="20" w:type="dxa"/>
              <w:right w:w="20" w:type="dxa"/>
            </w:tcMar>
            <w:hideMark/>
          </w:tcPr>
          <w:p w:rsidR="008313DB" w:rsidRPr="00A91EAF" w:rsidRDefault="008313DB" w:rsidP="00F3237E">
            <w:pPr>
              <w:spacing w:after="0" w:line="240" w:lineRule="auto"/>
              <w:jc w:val="center"/>
              <w:rPr>
                <w:rFonts w:ascii="Cambria" w:eastAsia="Times New Roman" w:hAnsi="Cambria" w:cs="Times New Roman"/>
                <w:sz w:val="19"/>
                <w:szCs w:val="24"/>
                <w:lang w:eastAsia="lv-LV"/>
              </w:rPr>
            </w:pPr>
            <w:r w:rsidRPr="00A91EAF">
              <w:rPr>
                <w:rFonts w:ascii="Cambria" w:eastAsia="Times New Roman" w:hAnsi="Cambria"/>
                <w:sz w:val="19"/>
                <w:szCs w:val="24"/>
                <w:lang w:eastAsia="lv-LV"/>
              </w:rPr>
              <w:t>3.2.5.</w:t>
            </w:r>
          </w:p>
        </w:tc>
        <w:tc>
          <w:tcPr>
            <w:tcW w:w="6851" w:type="dxa"/>
            <w:tcMar>
              <w:top w:w="20" w:type="dxa"/>
              <w:left w:w="20" w:type="dxa"/>
              <w:bottom w:w="20" w:type="dxa"/>
              <w:right w:w="20" w:type="dxa"/>
            </w:tcMar>
            <w:hideMark/>
          </w:tcPr>
          <w:p w:rsidR="008313DB" w:rsidRPr="00A91EAF" w:rsidRDefault="008313DB" w:rsidP="00F3237E">
            <w:pPr>
              <w:spacing w:after="0" w:line="240" w:lineRule="auto"/>
              <w:rPr>
                <w:rFonts w:ascii="Cambria" w:eastAsia="Times New Roman" w:hAnsi="Cambria" w:cs="Times New Roman"/>
                <w:sz w:val="19"/>
                <w:szCs w:val="24"/>
                <w:lang w:eastAsia="lv-LV"/>
              </w:rPr>
            </w:pPr>
            <w:r w:rsidRPr="00A91EAF">
              <w:rPr>
                <w:rFonts w:ascii="Cambria" w:eastAsia="Times New Roman" w:hAnsi="Cambria"/>
                <w:sz w:val="19"/>
                <w:szCs w:val="24"/>
                <w:lang w:eastAsia="lv-LV"/>
              </w:rPr>
              <w:t>81–100 % apmērā</w:t>
            </w:r>
          </w:p>
        </w:tc>
        <w:tc>
          <w:tcPr>
            <w:tcW w:w="1448" w:type="dxa"/>
            <w:tcMar>
              <w:top w:w="20" w:type="dxa"/>
              <w:left w:w="20" w:type="dxa"/>
              <w:bottom w:w="20" w:type="dxa"/>
              <w:right w:w="20" w:type="dxa"/>
            </w:tcMar>
          </w:tcPr>
          <w:p w:rsidR="008313DB" w:rsidRPr="00A91EAF" w:rsidRDefault="008313DB" w:rsidP="00F3237E">
            <w:pPr>
              <w:spacing w:after="0" w:line="240" w:lineRule="auto"/>
              <w:jc w:val="center"/>
              <w:rPr>
                <w:rFonts w:ascii="Cambria" w:eastAsia="Times New Roman" w:hAnsi="Cambria" w:cs="Times New Roman"/>
                <w:sz w:val="19"/>
                <w:szCs w:val="24"/>
                <w:lang w:eastAsia="lv-LV"/>
              </w:rPr>
            </w:pPr>
          </w:p>
        </w:tc>
      </w:tr>
    </w:tbl>
    <w:p w:rsidR="00711EB7" w:rsidRPr="008313DB" w:rsidRDefault="008313DB" w:rsidP="008313DB">
      <w:bookmarkStart w:id="0" w:name="_GoBack"/>
      <w:bookmarkEnd w:id="0"/>
    </w:p>
    <w:sectPr w:rsidR="00711EB7" w:rsidRPr="008313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55"/>
    <w:rsid w:val="000754BB"/>
    <w:rsid w:val="008313DB"/>
    <w:rsid w:val="00D60BED"/>
    <w:rsid w:val="00FE5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8AC6E-CA48-4452-B71A-683A81FE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55"/>
    <w:pPr>
      <w:suppressAutoHyphens/>
      <w:autoSpaceDN w:val="0"/>
      <w:spacing w:line="256" w:lineRule="auto"/>
      <w:textAlignment w:val="baseline"/>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1065</Words>
  <Characters>608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2</cp:revision>
  <dcterms:created xsi:type="dcterms:W3CDTF">2020-09-10T12:00:00Z</dcterms:created>
  <dcterms:modified xsi:type="dcterms:W3CDTF">2020-09-10T12:00:00Z</dcterms:modified>
</cp:coreProperties>
</file>