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7F" w:rsidRPr="00E71AC9" w:rsidRDefault="003A097F" w:rsidP="003A097F">
      <w:pPr>
        <w:spacing w:before="130" w:after="0" w:line="260" w:lineRule="exact"/>
        <w:jc w:val="right"/>
        <w:rPr>
          <w:rFonts w:ascii="Cambria" w:hAnsi="Cambria"/>
          <w:noProof/>
          <w:sz w:val="19"/>
          <w:szCs w:val="19"/>
          <w:lang w:val="lv-LV"/>
        </w:rPr>
      </w:pPr>
      <w:r w:rsidRPr="00E71AC9">
        <w:rPr>
          <w:rFonts w:ascii="Cambria" w:hAnsi="Cambria"/>
          <w:noProof/>
          <w:sz w:val="19"/>
          <w:szCs w:val="19"/>
          <w:lang w:val="lv-LV"/>
        </w:rPr>
        <w:t>4. pielikums</w:t>
      </w:r>
      <w:r w:rsidRPr="00E71AC9">
        <w:rPr>
          <w:rFonts w:ascii="Cambria" w:hAnsi="Cambria"/>
          <w:noProof/>
          <w:sz w:val="19"/>
          <w:szCs w:val="19"/>
          <w:lang w:val="lv-LV"/>
        </w:rPr>
        <w:br/>
        <w:t>Finanšu un kapitāla tirgus komisijas</w:t>
      </w:r>
      <w:r w:rsidRPr="00E71AC9">
        <w:rPr>
          <w:rFonts w:ascii="Cambria" w:hAnsi="Cambria"/>
          <w:noProof/>
          <w:sz w:val="19"/>
          <w:szCs w:val="19"/>
          <w:lang w:val="lv-LV"/>
        </w:rPr>
        <w:br/>
        <w:t>25.08.2020. normatīvajiem noteikumiem Nr. 138</w:t>
      </w:r>
    </w:p>
    <w:p w:rsidR="003A097F" w:rsidRPr="00D62CCA" w:rsidRDefault="003A097F" w:rsidP="003A097F">
      <w:pPr>
        <w:spacing w:before="360" w:after="0" w:line="240" w:lineRule="auto"/>
        <w:ind w:left="567" w:right="567"/>
        <w:jc w:val="center"/>
        <w:rPr>
          <w:rFonts w:ascii="Cambria" w:hAnsi="Cambria"/>
          <w:b/>
          <w:noProof/>
          <w:szCs w:val="19"/>
          <w:lang w:val="lv-LV"/>
        </w:rPr>
      </w:pPr>
      <w:r w:rsidRPr="00D62CCA">
        <w:rPr>
          <w:rFonts w:ascii="Cambria" w:hAnsi="Cambria"/>
          <w:b/>
          <w:noProof/>
          <w:szCs w:val="19"/>
          <w:lang w:val="lv-LV"/>
        </w:rPr>
        <w:t>Informācija par iestādes darbības programmu</w:t>
      </w:r>
    </w:p>
    <w:p w:rsidR="003A097F" w:rsidRPr="00E71AC9" w:rsidRDefault="003A097F" w:rsidP="003A097F">
      <w:pPr>
        <w:spacing w:before="130" w:after="0" w:line="260" w:lineRule="exact"/>
        <w:jc w:val="both"/>
        <w:rPr>
          <w:rFonts w:ascii="Cambria" w:hAnsi="Cambria"/>
          <w:noProof/>
          <w:sz w:val="19"/>
          <w:szCs w:val="19"/>
          <w:lang w:val="lv-LV"/>
        </w:rPr>
      </w:pPr>
    </w:p>
    <w:p w:rsidR="003A097F" w:rsidRPr="00E71AC9" w:rsidRDefault="003A097F" w:rsidP="003A097F">
      <w:pPr>
        <w:spacing w:before="130" w:after="120" w:line="260" w:lineRule="exact"/>
        <w:jc w:val="both"/>
        <w:rPr>
          <w:rFonts w:ascii="Cambria" w:hAnsi="Cambria"/>
          <w:noProof/>
          <w:sz w:val="19"/>
          <w:szCs w:val="19"/>
          <w:lang w:val="lv-LV"/>
        </w:rPr>
      </w:pPr>
      <w:r w:rsidRPr="00E71AC9">
        <w:rPr>
          <w:rFonts w:ascii="Cambria" w:hAnsi="Cambria"/>
          <w:noProof/>
          <w:sz w:val="19"/>
          <w:szCs w:val="19"/>
          <w:lang w:val="lv-LV"/>
        </w:rPr>
        <w:t>Iesnieguma iesniedzējs par savu darbību norāda tabulā minēto informāciju, pēc nepieciešamības pievienojot atsevišķus tabulā minēto informāciju pamatojošus dokumentus.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3"/>
        <w:gridCol w:w="7753"/>
      </w:tblGrid>
      <w:tr w:rsidR="003A097F" w:rsidRPr="000A6B82" w:rsidTr="006E10CF">
        <w:trPr>
          <w:cantSplit/>
        </w:trPr>
        <w:tc>
          <w:tcPr>
            <w:tcW w:w="595" w:type="dxa"/>
            <w:vAlign w:val="center"/>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Nr.</w:t>
            </w:r>
          </w:p>
        </w:tc>
        <w:tc>
          <w:tcPr>
            <w:tcW w:w="8986" w:type="dxa"/>
            <w:vAlign w:val="center"/>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Iesniedzamā informācija</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1.</w:t>
            </w:r>
          </w:p>
        </w:tc>
        <w:tc>
          <w:tcPr>
            <w:tcW w:w="8986" w:type="dxa"/>
            <w:shd w:val="clear" w:color="auto" w:fill="D9D9D9"/>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Plānoto maksājumu pakalpojumu veida secīgs apraksts, paskaidrojot, kāpēc iesnieguma iesniedzējs uzskata darbības, kas tiks veiktas, par tādām, kas ietilpst kādā no Maksājumu pakalpojumu un elektroniskās naudas likuma 1. panta 1. punktā norādītajām maksājumu pakalpojumu juridiskajām kategorijām.</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[apraksts]</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2.</w:t>
            </w:r>
          </w:p>
        </w:tc>
        <w:tc>
          <w:tcPr>
            <w:tcW w:w="8986" w:type="dxa"/>
            <w:shd w:val="clear" w:color="auto" w:fill="D9D9D9"/>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Apraksts par elektroniskās naudas pakalpojumiem, ko iesnieguma iesniedzējs plāno sniegt, norādot, vai tie būs emisijas, atpakaļpirkšanas vai izplatīšanas pakalpojumi.*</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[apraksts]</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3.</w:t>
            </w:r>
          </w:p>
        </w:tc>
        <w:tc>
          <w:tcPr>
            <w:tcW w:w="8986" w:type="dxa"/>
            <w:shd w:val="clear" w:color="auto" w:fill="D9D9D9"/>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Ja attiecināms, plānoto maksājumu pakalpojumu veidu apraksts, paskaidrojot, kāpēc iesnieguma iesniedzējs uzskata darbības, kas tiks veiktas, par tādām, kas ietilpst kādā no Maksājumu pakalpojumu un elektroniskās naudas likuma 1. panta 1. punktā norādītajām maksājumu pakalpojumu juridiskajām kategorijām, un norāde, vai šādi maksājumu pakalpojumi tiks sniegti papildus elektroniskās naudas pakalpojumiem un vai tie ir saistīti ar elektroniskās naudas emisiju.*</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[apraksts]</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4.</w:t>
            </w:r>
          </w:p>
        </w:tc>
        <w:tc>
          <w:tcPr>
            <w:tcW w:w="8986" w:type="dxa"/>
            <w:shd w:val="clear" w:color="auto" w:fill="D9D9D9"/>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Vai iesnieguma iesniedzēja īpašumā, turējumā vai valdījumā kādā brīdī nonāks klientu nauda?</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Jā</w:t>
            </w:r>
          </w:p>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Pr>
                <w:rFonts w:ascii="Cambria" w:hAnsi="Cambria"/>
                <w:noProof/>
                <w:sz w:val="19"/>
                <w:szCs w:val="19"/>
                <w:lang w:val="lv-LV"/>
              </w:rPr>
              <w:t>Nē</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5.</w:t>
            </w:r>
          </w:p>
        </w:tc>
        <w:tc>
          <w:tcPr>
            <w:tcW w:w="8986" w:type="dxa"/>
            <w:shd w:val="clear" w:color="auto" w:fill="D9D9D9"/>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Ja piemērojams, dažādo maksājumu pakalpojumu (arī elektroniskās naudas pakalpojumu) izpildes apraksts, precīzi norādot visas iesaistītās personas un par katru sniegto maksājumu pakalpojumu (arī elektroniskās naudas pakalpojumu) norādot:</w:t>
            </w:r>
          </w:p>
          <w:p w:rsidR="003A097F" w:rsidRPr="000A6B82" w:rsidRDefault="003A097F" w:rsidP="006E10CF">
            <w:pPr>
              <w:pStyle w:val="ListParagraph"/>
              <w:autoSpaceDE w:val="0"/>
              <w:autoSpaceDN w:val="0"/>
              <w:adjustRightInd w:val="0"/>
              <w:ind w:left="227"/>
              <w:contextualSpacing w:val="0"/>
              <w:jc w:val="left"/>
              <w:rPr>
                <w:rFonts w:ascii="Cambria" w:hAnsi="Cambria"/>
                <w:noProof/>
                <w:sz w:val="19"/>
                <w:szCs w:val="19"/>
              </w:rPr>
            </w:pPr>
            <w:r w:rsidRPr="000A6B82">
              <w:rPr>
                <w:rFonts w:ascii="Cambria" w:hAnsi="Cambria"/>
                <w:noProof/>
                <w:sz w:val="19"/>
                <w:szCs w:val="19"/>
              </w:rPr>
              <w:t>a) naudas plūsmas diagrammu**</w:t>
            </w:r>
            <w:r w:rsidRPr="000A6B82">
              <w:rPr>
                <w:rFonts w:ascii="Cambria" w:hAnsi="Cambria"/>
                <w:i/>
                <w:noProof/>
                <w:sz w:val="19"/>
                <w:szCs w:val="19"/>
              </w:rPr>
              <w:t>(papildus pievieno šim dokumentam)</w:t>
            </w:r>
            <w:r w:rsidRPr="000A6B82">
              <w:rPr>
                <w:rFonts w:ascii="Cambria" w:hAnsi="Cambria"/>
                <w:noProof/>
                <w:sz w:val="19"/>
                <w:szCs w:val="19"/>
              </w:rPr>
              <w:t>;</w:t>
            </w:r>
          </w:p>
          <w:p w:rsidR="003A097F" w:rsidRPr="000A6B82" w:rsidRDefault="003A097F" w:rsidP="006E10CF">
            <w:pPr>
              <w:pStyle w:val="ListParagraph"/>
              <w:autoSpaceDE w:val="0"/>
              <w:autoSpaceDN w:val="0"/>
              <w:adjustRightInd w:val="0"/>
              <w:ind w:left="227"/>
              <w:contextualSpacing w:val="0"/>
              <w:jc w:val="left"/>
              <w:rPr>
                <w:rFonts w:ascii="Cambria" w:hAnsi="Cambria"/>
                <w:noProof/>
                <w:sz w:val="19"/>
                <w:szCs w:val="19"/>
              </w:rPr>
            </w:pPr>
            <w:r w:rsidRPr="000A6B82">
              <w:rPr>
                <w:rFonts w:ascii="Cambria" w:hAnsi="Cambria"/>
                <w:noProof/>
                <w:sz w:val="19"/>
                <w:szCs w:val="19"/>
              </w:rPr>
              <w:t>b) norēķinu kārtību**;</w:t>
            </w:r>
          </w:p>
          <w:p w:rsidR="003A097F" w:rsidRPr="000A6B82" w:rsidRDefault="003A097F" w:rsidP="006E10CF">
            <w:pPr>
              <w:pStyle w:val="ListParagraph"/>
              <w:autoSpaceDE w:val="0"/>
              <w:autoSpaceDN w:val="0"/>
              <w:adjustRightInd w:val="0"/>
              <w:ind w:left="227"/>
              <w:contextualSpacing w:val="0"/>
              <w:jc w:val="left"/>
              <w:rPr>
                <w:rFonts w:ascii="Cambria" w:hAnsi="Cambria"/>
                <w:noProof/>
                <w:sz w:val="19"/>
                <w:szCs w:val="19"/>
              </w:rPr>
            </w:pPr>
            <w:r w:rsidRPr="000A6B82">
              <w:rPr>
                <w:rFonts w:ascii="Cambria" w:hAnsi="Cambria"/>
                <w:noProof/>
                <w:sz w:val="19"/>
                <w:szCs w:val="19"/>
              </w:rPr>
              <w:t xml:space="preserve">c) to līgumu projektus, kas noslēgti starp visām maksājumu pakalpojumu sniegšanā iesaistītajām personām, tai skaitā ar maksājumu karšu shēmām </w:t>
            </w:r>
            <w:r w:rsidRPr="000A6B82">
              <w:rPr>
                <w:rFonts w:ascii="Cambria" w:hAnsi="Cambria"/>
                <w:i/>
                <w:noProof/>
                <w:sz w:val="19"/>
                <w:szCs w:val="19"/>
              </w:rPr>
              <w:t>(papildus pievieno šim dokumentam)</w:t>
            </w:r>
            <w:r w:rsidRPr="000A6B82">
              <w:rPr>
                <w:rFonts w:ascii="Cambria" w:hAnsi="Cambria"/>
                <w:noProof/>
                <w:sz w:val="19"/>
                <w:szCs w:val="19"/>
              </w:rPr>
              <w:t>;</w:t>
            </w:r>
          </w:p>
          <w:p w:rsidR="003A097F" w:rsidRPr="000A6B82" w:rsidRDefault="003A097F" w:rsidP="006E10CF">
            <w:pPr>
              <w:pStyle w:val="ListParagraph"/>
              <w:autoSpaceDE w:val="0"/>
              <w:autoSpaceDN w:val="0"/>
              <w:adjustRightInd w:val="0"/>
              <w:ind w:left="227"/>
              <w:contextualSpacing w:val="0"/>
              <w:jc w:val="left"/>
              <w:rPr>
                <w:rFonts w:ascii="Cambria" w:hAnsi="Cambria"/>
                <w:noProof/>
                <w:sz w:val="19"/>
                <w:szCs w:val="19"/>
              </w:rPr>
            </w:pPr>
            <w:r w:rsidRPr="000A6B82">
              <w:rPr>
                <w:rFonts w:ascii="Cambria" w:hAnsi="Cambria"/>
                <w:noProof/>
                <w:sz w:val="19"/>
                <w:szCs w:val="19"/>
              </w:rPr>
              <w:t>d) maksājumu apstrādes un izpildes termiņus.</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[apraksts]</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6.</w:t>
            </w:r>
          </w:p>
        </w:tc>
        <w:tc>
          <w:tcPr>
            <w:tcW w:w="8986" w:type="dxa"/>
            <w:shd w:val="clear" w:color="auto" w:fill="D9D9D9"/>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Pievienota standartlīguma Maksājumu pakalpojumu un elektroniskās naudas likuma 1. panta 8. punkta izpratnē projekta kopija.</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Pievienota pielikumā</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7.</w:t>
            </w:r>
          </w:p>
        </w:tc>
        <w:tc>
          <w:tcPr>
            <w:tcW w:w="8986" w:type="dxa"/>
            <w:shd w:val="clear" w:color="auto" w:fill="D9D9D9"/>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Pievienota maksājumu pakalpojumu izmantotāju un elektroniskās naudas turētāju iesniegto sūdzību (strīdu) pārvaldības kārtība.</w:t>
            </w:r>
          </w:p>
        </w:tc>
      </w:tr>
      <w:tr w:rsidR="003A097F" w:rsidRPr="000A6B82" w:rsidTr="006E10CF">
        <w:trPr>
          <w:cantSplit/>
        </w:trPr>
        <w:tc>
          <w:tcPr>
            <w:tcW w:w="595" w:type="dxa"/>
            <w:shd w:val="clear" w:color="auto" w:fill="auto"/>
          </w:tcPr>
          <w:p w:rsidR="003A097F" w:rsidRPr="000A6B82" w:rsidRDefault="003A097F" w:rsidP="006E10CF">
            <w:pPr>
              <w:spacing w:after="0" w:line="240" w:lineRule="auto"/>
              <w:jc w:val="center"/>
              <w:rPr>
                <w:rFonts w:ascii="Cambria" w:hAnsi="Cambria"/>
                <w:noProof/>
                <w:sz w:val="19"/>
                <w:szCs w:val="19"/>
                <w:lang w:val="lv-LV"/>
              </w:rPr>
            </w:pPr>
          </w:p>
        </w:tc>
        <w:tc>
          <w:tcPr>
            <w:tcW w:w="8986" w:type="dxa"/>
            <w:shd w:val="clear" w:color="auto" w:fill="auto"/>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Pievienota pielikumā</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8.</w:t>
            </w:r>
          </w:p>
        </w:tc>
        <w:tc>
          <w:tcPr>
            <w:tcW w:w="8986" w:type="dxa"/>
            <w:shd w:val="clear" w:color="auto" w:fill="D9D9D9"/>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Vai plānots maksājumu pakalpojumus (arī elektroniskās naudas pakalpojumus) sniegt vai ar to sniegšanu saistītas darbības veikt vairākās fiziskās atrašanās vietās? Ja jā, norādiet to skaitu un plānoto pakalpojuma veidu.</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Nē</w:t>
            </w:r>
          </w:p>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Jā</w:t>
            </w:r>
          </w:p>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[apraksts]</w:t>
            </w:r>
          </w:p>
        </w:tc>
      </w:tr>
      <w:tr w:rsidR="003A097F" w:rsidRPr="000A6B82" w:rsidTr="006E10CF">
        <w:trPr>
          <w:cantSplit/>
        </w:trPr>
        <w:tc>
          <w:tcPr>
            <w:tcW w:w="595" w:type="dxa"/>
            <w:shd w:val="clear" w:color="auto" w:fill="D9D9D9"/>
          </w:tcPr>
          <w:p w:rsidR="003A097F" w:rsidRPr="000A6B82" w:rsidRDefault="003A097F" w:rsidP="006E10CF">
            <w:pPr>
              <w:pageBreakBefore/>
              <w:spacing w:after="0" w:line="240" w:lineRule="auto"/>
              <w:jc w:val="center"/>
              <w:rPr>
                <w:rFonts w:ascii="Cambria" w:hAnsi="Cambria"/>
                <w:noProof/>
                <w:sz w:val="19"/>
                <w:szCs w:val="19"/>
                <w:lang w:val="lv-LV"/>
              </w:rPr>
            </w:pPr>
            <w:r w:rsidRPr="000A6B82">
              <w:rPr>
                <w:rFonts w:ascii="Cambria" w:hAnsi="Cambria"/>
                <w:noProof/>
                <w:sz w:val="19"/>
                <w:szCs w:val="19"/>
                <w:lang w:val="lv-LV"/>
              </w:rPr>
              <w:lastRenderedPageBreak/>
              <w:t>9.</w:t>
            </w:r>
          </w:p>
        </w:tc>
        <w:tc>
          <w:tcPr>
            <w:tcW w:w="8986" w:type="dxa"/>
            <w:shd w:val="clear" w:color="auto" w:fill="D9D9D9"/>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Vai plānots sniegt Maksājumu pakalpojumu un elektroniskās naudas likuma 36. panta pirmās daļas 1. un 2.</w:t>
            </w:r>
            <w:r>
              <w:rPr>
                <w:rFonts w:ascii="Cambria" w:hAnsi="Cambria"/>
                <w:noProof/>
                <w:sz w:val="19"/>
                <w:szCs w:val="19"/>
                <w:lang w:val="lv-LV"/>
              </w:rPr>
              <w:t> </w:t>
            </w:r>
            <w:r w:rsidRPr="000A6B82">
              <w:rPr>
                <w:rFonts w:ascii="Cambria" w:hAnsi="Cambria"/>
                <w:noProof/>
                <w:sz w:val="19"/>
                <w:szCs w:val="19"/>
                <w:lang w:val="lv-LV"/>
              </w:rPr>
              <w:t>punktā un 36.</w:t>
            </w:r>
            <w:r w:rsidRPr="000A6B82">
              <w:rPr>
                <w:rFonts w:ascii="Cambria" w:hAnsi="Cambria"/>
                <w:noProof/>
                <w:sz w:val="19"/>
                <w:szCs w:val="19"/>
                <w:vertAlign w:val="superscript"/>
                <w:lang w:val="lv-LV"/>
              </w:rPr>
              <w:t xml:space="preserve">1 </w:t>
            </w:r>
            <w:r w:rsidRPr="000A6B82">
              <w:rPr>
                <w:rFonts w:ascii="Cambria" w:hAnsi="Cambria"/>
                <w:noProof/>
                <w:sz w:val="19"/>
                <w:szCs w:val="19"/>
                <w:lang w:val="lv-LV"/>
              </w:rPr>
              <w:t>panta 1., 2. vai 3. punktā minētos maksājumu pakalpojumu (arī elektroniskās naudas pakalpojumu) papildpakalpojumus? Ja jā, aprakstiet visus šos papildpakalpojumus.</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Nē</w:t>
            </w:r>
          </w:p>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Jā</w:t>
            </w:r>
          </w:p>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[apraksts]</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10.</w:t>
            </w:r>
          </w:p>
        </w:tc>
        <w:tc>
          <w:tcPr>
            <w:tcW w:w="8986" w:type="dxa"/>
            <w:shd w:val="clear" w:color="auto" w:fill="D9D9D9"/>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Vai plānots piešķirt ar maksājumu pakalpojumiem saistītu kredītu Maksājumu pakalpojumu un elektroniskās naudas likuma 37. panta izpratnē? Ja jā, norādiet, līdz kādam apmēram.***</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Nē</w:t>
            </w:r>
          </w:p>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Jā</w:t>
            </w:r>
          </w:p>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[apraksts]</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11.</w:t>
            </w:r>
          </w:p>
        </w:tc>
        <w:tc>
          <w:tcPr>
            <w:tcW w:w="8986" w:type="dxa"/>
            <w:shd w:val="clear" w:color="auto" w:fill="D9D9D9"/>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Vai plānots sniegt maksājumu pakalpojumus (arī elektroniskās naudas pakalpojumus) citās dalībvalstīs vai ārvalstīs (nedalībvalstīs)? Ja jā, norādiet, kādās valstīs.</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Nē</w:t>
            </w:r>
          </w:p>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Jā</w:t>
            </w:r>
          </w:p>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[apraksts]</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12.</w:t>
            </w:r>
          </w:p>
        </w:tc>
        <w:tc>
          <w:tcPr>
            <w:tcW w:w="8986" w:type="dxa"/>
            <w:shd w:val="clear" w:color="auto" w:fill="D9D9D9"/>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Vai iesnieguma iesniedzējs jau veic vai nākamo trīs gadu laikā plāno veikt cita veida komercdarbību, kas minēta Maksājumu pakalpojumu un elektroniskās naudas likuma 36. panta pirmās daļas 3. punktā un 36.</w:t>
            </w:r>
            <w:r w:rsidRPr="000A6B82">
              <w:rPr>
                <w:rFonts w:ascii="Cambria" w:hAnsi="Cambria"/>
                <w:noProof/>
                <w:sz w:val="19"/>
                <w:szCs w:val="19"/>
                <w:vertAlign w:val="superscript"/>
                <w:lang w:val="lv-LV"/>
              </w:rPr>
              <w:t>1</w:t>
            </w:r>
            <w:r>
              <w:rPr>
                <w:rFonts w:ascii="Cambria" w:hAnsi="Cambria"/>
                <w:noProof/>
                <w:sz w:val="19"/>
                <w:szCs w:val="19"/>
                <w:lang w:val="lv-LV"/>
              </w:rPr>
              <w:t> </w:t>
            </w:r>
            <w:r w:rsidRPr="000A6B82">
              <w:rPr>
                <w:rFonts w:ascii="Cambria" w:hAnsi="Cambria"/>
                <w:noProof/>
                <w:sz w:val="19"/>
                <w:szCs w:val="19"/>
                <w:lang w:val="lv-LV"/>
              </w:rPr>
              <w:t>panta pirmās daļas 4. punktā? Ja jā, aprakstiet šādas darbības veidu un paredzamo apmēru nākamā gada periodā.</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Nē</w:t>
            </w:r>
          </w:p>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position w:val="-2"/>
                <w:sz w:val="26"/>
                <w:szCs w:val="26"/>
                <w:lang w:val="en-US"/>
              </w:rPr>
              <w:sym w:font="Wingdings 2" w:char="F0A3"/>
            </w:r>
            <w:r w:rsidRPr="000A6B82">
              <w:rPr>
                <w:rFonts w:ascii="Cambria" w:hAnsi="Cambria"/>
                <w:noProof/>
                <w:sz w:val="19"/>
                <w:szCs w:val="19"/>
                <w:lang w:val="en-US"/>
              </w:rPr>
              <w:t xml:space="preserve"> </w:t>
            </w:r>
            <w:r w:rsidRPr="000A6B82">
              <w:rPr>
                <w:rFonts w:ascii="Cambria" w:hAnsi="Cambria"/>
                <w:noProof/>
                <w:sz w:val="19"/>
                <w:szCs w:val="19"/>
                <w:lang w:val="lv-LV"/>
              </w:rPr>
              <w:t>Jā</w:t>
            </w:r>
          </w:p>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[apraksts]</w:t>
            </w:r>
          </w:p>
        </w:tc>
      </w:tr>
      <w:tr w:rsidR="003A097F" w:rsidRPr="000A6B82" w:rsidTr="006E10CF">
        <w:trPr>
          <w:cantSplit/>
        </w:trPr>
        <w:tc>
          <w:tcPr>
            <w:tcW w:w="595" w:type="dxa"/>
            <w:shd w:val="clear" w:color="auto" w:fill="D9D9D9"/>
          </w:tcPr>
          <w:p w:rsidR="003A097F" w:rsidRPr="000A6B82" w:rsidRDefault="003A097F" w:rsidP="006E10CF">
            <w:pPr>
              <w:spacing w:after="0" w:line="240" w:lineRule="auto"/>
              <w:jc w:val="center"/>
              <w:rPr>
                <w:rFonts w:ascii="Cambria" w:hAnsi="Cambria"/>
                <w:noProof/>
                <w:sz w:val="19"/>
                <w:szCs w:val="19"/>
                <w:lang w:val="lv-LV"/>
              </w:rPr>
            </w:pPr>
            <w:r w:rsidRPr="000A6B82">
              <w:rPr>
                <w:rFonts w:ascii="Cambria" w:hAnsi="Cambria"/>
                <w:noProof/>
                <w:sz w:val="19"/>
                <w:szCs w:val="19"/>
                <w:lang w:val="lv-LV"/>
              </w:rPr>
              <w:t>13.</w:t>
            </w:r>
          </w:p>
        </w:tc>
        <w:tc>
          <w:tcPr>
            <w:tcW w:w="8986" w:type="dxa"/>
            <w:shd w:val="clear" w:color="auto" w:fill="D9D9D9"/>
          </w:tcPr>
          <w:p w:rsidR="003A097F" w:rsidRPr="000A6B82" w:rsidRDefault="003A097F" w:rsidP="006E10CF">
            <w:pPr>
              <w:autoSpaceDE w:val="0"/>
              <w:autoSpaceDN w:val="0"/>
              <w:adjustRightInd w:val="0"/>
              <w:spacing w:after="0" w:line="240" w:lineRule="auto"/>
              <w:rPr>
                <w:rFonts w:ascii="Cambria" w:hAnsi="Cambria"/>
                <w:noProof/>
                <w:sz w:val="19"/>
                <w:szCs w:val="19"/>
                <w:lang w:val="lv-LV"/>
              </w:rPr>
            </w:pPr>
            <w:r w:rsidRPr="000A6B82">
              <w:rPr>
                <w:rFonts w:ascii="Cambria" w:hAnsi="Cambria"/>
                <w:noProof/>
                <w:sz w:val="19"/>
                <w:szCs w:val="19"/>
                <w:lang w:val="lv-LV"/>
              </w:rPr>
              <w:t>Ja plānots sniegt maksājuma ierosināšanas pakalpojumus vai konta informācijas pakalpojumus, aprakstiet, kā ir aprēķināts profesionālās darbības civiltiesiskās atbildības apdrošināšanas minimālais atbildības limits atbilstoši tā aprēķināšanas kārtībai, kas noteikta Maksājumu pakalpojumu un elektroniskās naudas likuma 35.</w:t>
            </w:r>
            <w:r w:rsidRPr="000A6B82">
              <w:rPr>
                <w:rFonts w:ascii="Cambria" w:hAnsi="Cambria"/>
                <w:noProof/>
                <w:sz w:val="19"/>
                <w:szCs w:val="19"/>
                <w:vertAlign w:val="superscript"/>
                <w:lang w:val="lv-LV"/>
              </w:rPr>
              <w:t xml:space="preserve">1 </w:t>
            </w:r>
            <w:r w:rsidRPr="000A6B82">
              <w:rPr>
                <w:rFonts w:ascii="Cambria" w:hAnsi="Cambria"/>
                <w:noProof/>
                <w:sz w:val="19"/>
                <w:szCs w:val="19"/>
                <w:lang w:val="lv-LV"/>
              </w:rPr>
              <w:t>panta ceturtajā daļā.</w:t>
            </w:r>
          </w:p>
        </w:tc>
      </w:tr>
      <w:tr w:rsidR="003A097F" w:rsidRPr="000A6B82" w:rsidTr="006E10CF">
        <w:trPr>
          <w:cantSplit/>
        </w:trPr>
        <w:tc>
          <w:tcPr>
            <w:tcW w:w="595" w:type="dxa"/>
          </w:tcPr>
          <w:p w:rsidR="003A097F" w:rsidRPr="000A6B82" w:rsidRDefault="003A097F" w:rsidP="006E10CF">
            <w:pPr>
              <w:spacing w:after="0" w:line="240" w:lineRule="auto"/>
              <w:jc w:val="center"/>
              <w:rPr>
                <w:rFonts w:ascii="Cambria" w:hAnsi="Cambria"/>
                <w:noProof/>
                <w:sz w:val="19"/>
                <w:szCs w:val="19"/>
                <w:lang w:val="lv-LV"/>
              </w:rPr>
            </w:pPr>
          </w:p>
        </w:tc>
        <w:tc>
          <w:tcPr>
            <w:tcW w:w="8986" w:type="dxa"/>
          </w:tcPr>
          <w:p w:rsidR="003A097F" w:rsidRPr="000A6B82" w:rsidRDefault="003A097F" w:rsidP="006E10CF">
            <w:pPr>
              <w:spacing w:after="0" w:line="240" w:lineRule="auto"/>
              <w:rPr>
                <w:rFonts w:ascii="Cambria" w:hAnsi="Cambria"/>
                <w:noProof/>
                <w:sz w:val="19"/>
                <w:szCs w:val="19"/>
                <w:lang w:val="lv-LV"/>
              </w:rPr>
            </w:pPr>
            <w:r w:rsidRPr="000A6B82">
              <w:rPr>
                <w:rFonts w:ascii="Cambria" w:hAnsi="Cambria"/>
                <w:noProof/>
                <w:sz w:val="19"/>
                <w:szCs w:val="19"/>
                <w:lang w:val="lv-LV"/>
              </w:rPr>
              <w:t>[apraksts]</w:t>
            </w:r>
          </w:p>
        </w:tc>
      </w:tr>
    </w:tbl>
    <w:p w:rsidR="003A097F" w:rsidRPr="00E71AC9" w:rsidRDefault="003A097F" w:rsidP="003A097F">
      <w:pPr>
        <w:spacing w:before="130" w:after="0" w:line="260" w:lineRule="exact"/>
        <w:jc w:val="both"/>
        <w:rPr>
          <w:rFonts w:ascii="Cambria" w:hAnsi="Cambria"/>
          <w:i/>
          <w:noProof/>
          <w:sz w:val="17"/>
          <w:szCs w:val="17"/>
          <w:lang w:val="lv-LV"/>
        </w:rPr>
      </w:pPr>
      <w:bookmarkStart w:id="0" w:name="_GoBack"/>
      <w:r w:rsidRPr="00E71AC9">
        <w:rPr>
          <w:rFonts w:ascii="Cambria" w:hAnsi="Cambria"/>
          <w:i/>
          <w:noProof/>
          <w:sz w:val="17"/>
          <w:szCs w:val="17"/>
          <w:lang w:val="lv-LV"/>
        </w:rPr>
        <w:t>* Aizpilda tikai iesnieguma elektroniskās naudas iestādes darbības licences saņemšanai iesniedzējs.</w:t>
      </w:r>
    </w:p>
    <w:bookmarkEnd w:id="0"/>
    <w:p w:rsidR="003A097F" w:rsidRPr="00E71AC9" w:rsidRDefault="003A097F" w:rsidP="003A097F">
      <w:pPr>
        <w:spacing w:after="0" w:line="260" w:lineRule="exact"/>
        <w:jc w:val="both"/>
        <w:rPr>
          <w:rFonts w:ascii="Cambria" w:hAnsi="Cambria"/>
          <w:i/>
          <w:noProof/>
          <w:sz w:val="17"/>
          <w:szCs w:val="17"/>
          <w:lang w:val="lv-LV"/>
        </w:rPr>
      </w:pPr>
      <w:r w:rsidRPr="00E71AC9">
        <w:rPr>
          <w:rFonts w:ascii="Cambria" w:hAnsi="Cambria"/>
          <w:i/>
          <w:noProof/>
          <w:sz w:val="17"/>
          <w:szCs w:val="17"/>
          <w:lang w:val="lv-LV"/>
        </w:rPr>
        <w:t>** Nav jāsniedz, ja iesnieguma iesniedzējs plāno sniegt tikai maksājuma ierosināšanas pakalpojumus vai konta informācijas pakalpojumus.</w:t>
      </w:r>
    </w:p>
    <w:p w:rsidR="003A097F" w:rsidRPr="00E71AC9" w:rsidRDefault="003A097F" w:rsidP="003A097F">
      <w:pPr>
        <w:spacing w:after="0" w:line="260" w:lineRule="exact"/>
        <w:jc w:val="both"/>
        <w:rPr>
          <w:rFonts w:ascii="Cambria" w:hAnsi="Cambria"/>
          <w:i/>
          <w:noProof/>
          <w:sz w:val="17"/>
          <w:szCs w:val="17"/>
          <w:lang w:val="lv-LV"/>
        </w:rPr>
      </w:pPr>
      <w:r w:rsidRPr="00E71AC9">
        <w:rPr>
          <w:rFonts w:ascii="Cambria" w:hAnsi="Cambria"/>
          <w:i/>
          <w:noProof/>
          <w:sz w:val="17"/>
          <w:szCs w:val="17"/>
          <w:lang w:val="lv-LV"/>
        </w:rPr>
        <w:t>*** Iesnieguma elektroniskās naudas iestādes darbības licences saņemšanai iesniedzējs aizpilda tikai tad, ja plāno sniegt maksājumu pakalpojumus papildus elektroniskās naudas pakalpojumiem.</w:t>
      </w:r>
    </w:p>
    <w:p w:rsidR="00711EB7" w:rsidRDefault="003A097F"/>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7F"/>
    <w:rsid w:val="000754BB"/>
    <w:rsid w:val="003A097F"/>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E9237-358B-4BEA-8993-32BE945F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7F"/>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7F"/>
    <w:pPr>
      <w:spacing w:after="0" w:line="240" w:lineRule="auto"/>
      <w:ind w:left="720"/>
      <w:contextualSpacing/>
      <w:jc w:val="both"/>
    </w:pPr>
    <w:rPr>
      <w:rFonts w:ascii="Times New Roman" w:eastAsia="Times New Roman" w:hAnsi="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2791</Words>
  <Characters>1592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2020-09-04T08:20:00Z</dcterms:created>
  <dcterms:modified xsi:type="dcterms:W3CDTF">2020-09-04T08:20:00Z</dcterms:modified>
</cp:coreProperties>
</file>