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B3" w:rsidRPr="003E2C4E" w:rsidRDefault="008B32B3" w:rsidP="008B32B3">
      <w:pPr>
        <w:pStyle w:val="Header"/>
        <w:spacing w:before="130" w:line="260" w:lineRule="exact"/>
        <w:ind w:firstLine="539"/>
        <w:jc w:val="right"/>
        <w:rPr>
          <w:rFonts w:ascii="Cambria" w:hAnsi="Cambria"/>
          <w:noProof/>
          <w:sz w:val="19"/>
          <w:szCs w:val="24"/>
          <w:lang w:val="en-US"/>
        </w:rPr>
      </w:pPr>
      <w:r w:rsidRPr="003E2C4E">
        <w:rPr>
          <w:rFonts w:ascii="Cambria" w:hAnsi="Cambria"/>
          <w:noProof/>
          <w:sz w:val="19"/>
          <w:szCs w:val="24"/>
          <w:lang w:val="en-US"/>
        </w:rPr>
        <w:t>3. pielikums</w:t>
      </w:r>
      <w:r>
        <w:rPr>
          <w:rFonts w:ascii="Cambria" w:hAnsi="Cambria"/>
          <w:noProof/>
          <w:sz w:val="19"/>
          <w:szCs w:val="24"/>
          <w:lang w:val="en-US"/>
        </w:rPr>
        <w:br/>
      </w:r>
      <w:r w:rsidRPr="003E2C4E">
        <w:rPr>
          <w:rFonts w:ascii="Cambria" w:hAnsi="Cambria"/>
          <w:noProof/>
          <w:sz w:val="19"/>
          <w:szCs w:val="24"/>
          <w:lang w:val="en-US"/>
        </w:rPr>
        <w:t>Finan</w:t>
      </w:r>
      <w:r>
        <w:rPr>
          <w:rFonts w:ascii="Cambria" w:hAnsi="Cambria"/>
          <w:noProof/>
          <w:sz w:val="19"/>
          <w:szCs w:val="24"/>
          <w:lang w:val="en-US"/>
        </w:rPr>
        <w:t>šu un kapitāla tirgus komisijas</w:t>
      </w:r>
      <w:r>
        <w:rPr>
          <w:rFonts w:ascii="Cambria" w:hAnsi="Cambria"/>
          <w:noProof/>
          <w:sz w:val="19"/>
          <w:szCs w:val="24"/>
          <w:lang w:val="en-US"/>
        </w:rPr>
        <w:br/>
      </w:r>
      <w:r w:rsidRPr="003E2C4E">
        <w:rPr>
          <w:rFonts w:ascii="Cambria" w:hAnsi="Cambria"/>
          <w:noProof/>
          <w:sz w:val="19"/>
          <w:szCs w:val="24"/>
          <w:lang w:val="en-US"/>
        </w:rPr>
        <w:t>21.08.2019. normatīvajiem noteikumiem Nr.135</w:t>
      </w:r>
    </w:p>
    <w:p w:rsidR="008B32B3" w:rsidRPr="007E7B8A" w:rsidRDefault="008B32B3" w:rsidP="008B32B3">
      <w:pPr>
        <w:pStyle w:val="Header"/>
        <w:spacing w:before="360"/>
        <w:ind w:left="567" w:right="567"/>
        <w:jc w:val="center"/>
        <w:rPr>
          <w:rFonts w:ascii="Cambria" w:hAnsi="Cambria"/>
          <w:b/>
          <w:noProof/>
          <w:szCs w:val="24"/>
          <w:lang w:val="en-US"/>
        </w:rPr>
      </w:pPr>
      <w:r w:rsidRPr="007E7B8A">
        <w:rPr>
          <w:rFonts w:ascii="Cambria" w:hAnsi="Cambria"/>
          <w:b/>
          <w:noProof/>
          <w:szCs w:val="24"/>
          <w:lang w:val="en-US"/>
        </w:rPr>
        <w:t>Noziedzīgi iegūtu līdzekļu legalizācijas un terorisma un proliferācijas finansēšanas risku pazeminošie faktori, ko var ņemt vērā, veicot klienta riska skaitlisko novērtējumu</w:t>
      </w:r>
    </w:p>
    <w:p w:rsidR="008B32B3" w:rsidRPr="003E2C4E" w:rsidRDefault="008B32B3" w:rsidP="008B32B3">
      <w:pPr>
        <w:pStyle w:val="Header"/>
        <w:tabs>
          <w:tab w:val="left" w:pos="5475"/>
        </w:tabs>
        <w:spacing w:before="130" w:line="260" w:lineRule="exact"/>
        <w:ind w:firstLine="539"/>
        <w:rPr>
          <w:rFonts w:ascii="Cambria" w:hAnsi="Cambria"/>
          <w:noProof/>
          <w:sz w:val="19"/>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00" w:firstRow="0" w:lastRow="0" w:firstColumn="0" w:lastColumn="0" w:noHBand="1" w:noVBand="1"/>
      </w:tblPr>
      <w:tblGrid>
        <w:gridCol w:w="596"/>
        <w:gridCol w:w="1985"/>
        <w:gridCol w:w="5120"/>
        <w:gridCol w:w="447"/>
        <w:gridCol w:w="447"/>
        <w:gridCol w:w="1039"/>
        <w:gridCol w:w="450"/>
        <w:gridCol w:w="743"/>
        <w:gridCol w:w="592"/>
        <w:gridCol w:w="676"/>
        <w:gridCol w:w="456"/>
        <w:gridCol w:w="1004"/>
        <w:gridCol w:w="958"/>
      </w:tblGrid>
      <w:tr w:rsidR="008B32B3" w:rsidRPr="007E7B8A" w:rsidTr="007E6579">
        <w:trPr>
          <w:cantSplit/>
          <w:trHeight w:val="1611"/>
          <w:jc w:val="center"/>
        </w:trPr>
        <w:tc>
          <w:tcPr>
            <w:tcW w:w="205" w:type="pct"/>
            <w:vAlign w:val="center"/>
          </w:tcPr>
          <w:p w:rsidR="008B32B3" w:rsidRPr="007E7B8A" w:rsidRDefault="008B32B3" w:rsidP="007E6579">
            <w:pPr>
              <w:pStyle w:val="Header"/>
              <w:jc w:val="center"/>
              <w:rPr>
                <w:rFonts w:ascii="Cambria" w:hAnsi="Cambria"/>
                <w:b/>
                <w:noProof/>
                <w:sz w:val="19"/>
                <w:szCs w:val="24"/>
              </w:rPr>
            </w:pPr>
            <w:r w:rsidRPr="007E7B8A">
              <w:rPr>
                <w:rFonts w:ascii="Cambria" w:hAnsi="Cambria"/>
                <w:b/>
                <w:noProof/>
                <w:sz w:val="19"/>
                <w:szCs w:val="24"/>
              </w:rPr>
              <w:t>Nr.</w:t>
            </w:r>
          </w:p>
        </w:tc>
        <w:tc>
          <w:tcPr>
            <w:tcW w:w="684" w:type="pct"/>
            <w:vAlign w:val="center"/>
          </w:tcPr>
          <w:p w:rsidR="008B32B3" w:rsidRPr="007E7B8A" w:rsidRDefault="008B32B3" w:rsidP="007E6579">
            <w:pPr>
              <w:pStyle w:val="Header"/>
              <w:jc w:val="center"/>
              <w:rPr>
                <w:rFonts w:ascii="Cambria" w:hAnsi="Cambria"/>
                <w:b/>
                <w:noProof/>
                <w:sz w:val="19"/>
                <w:szCs w:val="24"/>
              </w:rPr>
            </w:pPr>
            <w:r w:rsidRPr="007E7B8A">
              <w:rPr>
                <w:rFonts w:ascii="Cambria" w:hAnsi="Cambria"/>
                <w:b/>
                <w:noProof/>
                <w:sz w:val="19"/>
                <w:szCs w:val="24"/>
              </w:rPr>
              <w:t>Segments</w:t>
            </w:r>
          </w:p>
        </w:tc>
        <w:tc>
          <w:tcPr>
            <w:tcW w:w="1764" w:type="pct"/>
            <w:vAlign w:val="center"/>
          </w:tcPr>
          <w:p w:rsidR="008B32B3" w:rsidRPr="007E7B8A" w:rsidRDefault="008B32B3" w:rsidP="007E6579">
            <w:pPr>
              <w:pStyle w:val="Header"/>
              <w:jc w:val="center"/>
              <w:rPr>
                <w:rFonts w:ascii="Cambria" w:hAnsi="Cambria"/>
                <w:b/>
                <w:noProof/>
                <w:sz w:val="19"/>
                <w:szCs w:val="24"/>
              </w:rPr>
            </w:pPr>
            <w:r w:rsidRPr="007E7B8A">
              <w:rPr>
                <w:rFonts w:ascii="Cambria" w:hAnsi="Cambria"/>
                <w:b/>
                <w:noProof/>
                <w:sz w:val="19"/>
                <w:szCs w:val="24"/>
              </w:rPr>
              <w:t>Risku pazeminošie faktori</w:t>
            </w:r>
          </w:p>
        </w:tc>
        <w:tc>
          <w:tcPr>
            <w:tcW w:w="154"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Iestādes</w:t>
            </w:r>
          </w:p>
        </w:tc>
        <w:tc>
          <w:tcPr>
            <w:tcW w:w="154"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Kredītiestādes</w:t>
            </w:r>
          </w:p>
        </w:tc>
        <w:tc>
          <w:tcPr>
            <w:tcW w:w="358" w:type="pct"/>
            <w:textDirection w:val="btLr"/>
            <w:vAlign w:val="center"/>
          </w:tcPr>
          <w:p w:rsidR="008B32B3" w:rsidRPr="007E7B8A" w:rsidRDefault="008B32B3" w:rsidP="007E6579">
            <w:pPr>
              <w:pStyle w:val="Header"/>
              <w:rPr>
                <w:rFonts w:ascii="Cambria" w:hAnsi="Cambria"/>
                <w:noProof/>
                <w:sz w:val="19"/>
                <w:lang w:val="en-US"/>
              </w:rPr>
            </w:pPr>
            <w:r w:rsidRPr="007E7B8A">
              <w:rPr>
                <w:rFonts w:ascii="Cambria" w:hAnsi="Cambria"/>
                <w:noProof/>
                <w:sz w:val="19"/>
                <w:lang w:val="en-US"/>
              </w:rPr>
              <w:t>Maksājumu iestādes un elektroniskās naudas iestādes</w:t>
            </w:r>
          </w:p>
        </w:tc>
        <w:tc>
          <w:tcPr>
            <w:tcW w:w="155"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Privātie pensiju fondi</w:t>
            </w:r>
          </w:p>
        </w:tc>
        <w:tc>
          <w:tcPr>
            <w:tcW w:w="256"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Ieguldījumu brokeru sabiedrības</w:t>
            </w:r>
          </w:p>
        </w:tc>
        <w:tc>
          <w:tcPr>
            <w:tcW w:w="204"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Ieguldījumu pārvaldes sabiedrības</w:t>
            </w:r>
          </w:p>
        </w:tc>
        <w:tc>
          <w:tcPr>
            <w:tcW w:w="233"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Alternatīvo ieguldījumu fondu pārvaldnieki</w:t>
            </w:r>
          </w:p>
        </w:tc>
        <w:tc>
          <w:tcPr>
            <w:tcW w:w="157"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Krājaizdevu sabiedrības</w:t>
            </w:r>
          </w:p>
        </w:tc>
        <w:tc>
          <w:tcPr>
            <w:tcW w:w="346"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Apdrošināšanas un pārapdrošināšanas sabiedrības</w:t>
            </w:r>
            <w:r w:rsidRPr="007E7B8A">
              <w:rPr>
                <w:rStyle w:val="FootnoteReference"/>
                <w:rFonts w:ascii="Cambria" w:hAnsi="Cambria"/>
                <w:noProof/>
                <w:sz w:val="19"/>
              </w:rPr>
              <w:footnoteReference w:id="1"/>
            </w:r>
          </w:p>
        </w:tc>
        <w:tc>
          <w:tcPr>
            <w:tcW w:w="330" w:type="pct"/>
            <w:textDirection w:val="btLr"/>
            <w:vAlign w:val="center"/>
          </w:tcPr>
          <w:p w:rsidR="008B32B3" w:rsidRPr="007E7B8A" w:rsidRDefault="008B32B3" w:rsidP="007E6579">
            <w:pPr>
              <w:pStyle w:val="Header"/>
              <w:rPr>
                <w:rFonts w:ascii="Cambria" w:hAnsi="Cambria"/>
                <w:noProof/>
                <w:sz w:val="19"/>
              </w:rPr>
            </w:pPr>
            <w:r w:rsidRPr="007E7B8A">
              <w:rPr>
                <w:rFonts w:ascii="Cambria" w:hAnsi="Cambria"/>
                <w:noProof/>
                <w:sz w:val="19"/>
              </w:rPr>
              <w:t>Apdrošināšanas starpnieki</w:t>
            </w:r>
            <w:r w:rsidRPr="007E7B8A">
              <w:rPr>
                <w:rStyle w:val="FootnoteReference"/>
                <w:rFonts w:ascii="Cambria" w:hAnsi="Cambria"/>
                <w:noProof/>
                <w:sz w:val="19"/>
              </w:rPr>
              <w:footnoteReference w:id="2"/>
            </w: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Klients izmanto vai piedāvā produktu, kas ierobežo maksājumu, papildināšanas vai atpirkšanas reižu, tostarp skaidras naudas izņemšanas reižu, skaitu un apjomu konkrētā periodā</w:t>
            </w: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4" w:type="pct"/>
          </w:tcPr>
          <w:p w:rsidR="008B32B3" w:rsidRPr="007E7B8A" w:rsidRDefault="008B32B3" w:rsidP="007E6579">
            <w:pPr>
              <w:pStyle w:val="Header"/>
              <w:jc w:val="center"/>
              <w:rPr>
                <w:rFonts w:ascii="Cambria" w:hAnsi="Cambria"/>
                <w:noProof/>
                <w:sz w:val="19"/>
                <w:szCs w:val="24"/>
              </w:rPr>
            </w:pPr>
          </w:p>
        </w:tc>
        <w:tc>
          <w:tcPr>
            <w:tcW w:w="358" w:type="pct"/>
          </w:tcPr>
          <w:p w:rsidR="008B32B3" w:rsidRPr="007E7B8A" w:rsidRDefault="008B32B3" w:rsidP="007E6579">
            <w:pPr>
              <w:pStyle w:val="Header"/>
              <w:jc w:val="center"/>
              <w:rPr>
                <w:rFonts w:ascii="Cambria" w:hAnsi="Cambria"/>
                <w:b/>
                <w:noProof/>
                <w:sz w:val="19"/>
                <w:szCs w:val="24"/>
              </w:rPr>
            </w:pP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2</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b/>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Klients izmanto vai piedāvā produktu, kas ierobežo līdzekļu daudzumu, ko var vienlaikus turēt e-naudas produktā/kontā</w:t>
            </w:r>
          </w:p>
        </w:tc>
        <w:tc>
          <w:tcPr>
            <w:tcW w:w="154" w:type="pct"/>
          </w:tcPr>
          <w:p w:rsidR="008B32B3" w:rsidRPr="007E7B8A" w:rsidRDefault="008B32B3" w:rsidP="007E6579">
            <w:pPr>
              <w:pStyle w:val="Header"/>
              <w:jc w:val="center"/>
              <w:rPr>
                <w:rFonts w:ascii="Cambria" w:hAnsi="Cambria"/>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b/>
                <w:noProof/>
                <w:sz w:val="19"/>
                <w:szCs w:val="24"/>
              </w:rPr>
            </w:pPr>
            <w:r w:rsidRPr="007E7B8A">
              <w:rPr>
                <w:rFonts w:ascii="Cambria" w:hAnsi="Cambria"/>
                <w:noProof/>
                <w:sz w:val="19"/>
                <w:szCs w:val="24"/>
              </w:rPr>
              <w:t>X</w:t>
            </w: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3</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paredz un nodrošina, ka iegādei vai papildināšanai izmantotie līdzekļi tiktu neapšaubāmi ņemti tikai no konta, kas vienpersoniski vai kopīgi atvērts uz klienta vārda Eiropas Ekonomikas zonas kredītiestādē vai finanšu iestādē un nevar tikt papildināts ar trešās personas pārvedumu</w:t>
            </w: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4" w:type="pct"/>
          </w:tcPr>
          <w:p w:rsidR="008B32B3" w:rsidRPr="007E7B8A" w:rsidRDefault="008B32B3" w:rsidP="007E6579">
            <w:pPr>
              <w:pStyle w:val="Header"/>
              <w:jc w:val="center"/>
              <w:rPr>
                <w:rFonts w:ascii="Cambria" w:hAnsi="Cambria"/>
                <w:noProof/>
                <w:sz w:val="19"/>
                <w:szCs w:val="24"/>
              </w:rPr>
            </w:pPr>
          </w:p>
        </w:tc>
        <w:tc>
          <w:tcPr>
            <w:tcW w:w="358" w:type="pct"/>
          </w:tcPr>
          <w:p w:rsidR="008B32B3" w:rsidRPr="007E7B8A" w:rsidRDefault="008B32B3" w:rsidP="007E6579">
            <w:pPr>
              <w:pStyle w:val="Header"/>
              <w:jc w:val="center"/>
              <w:rPr>
                <w:rFonts w:ascii="Cambria" w:hAnsi="Cambria"/>
                <w:noProof/>
                <w:sz w:val="19"/>
                <w:szCs w:val="24"/>
              </w:rPr>
            </w:pP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4</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lang w:val="en-US"/>
              </w:rPr>
            </w:pPr>
            <w:r w:rsidRPr="007E7B8A">
              <w:rPr>
                <w:rFonts w:ascii="Cambria" w:hAnsi="Cambria"/>
                <w:noProof/>
                <w:sz w:val="19"/>
                <w:szCs w:val="24"/>
                <w:lang w:val="en-US"/>
              </w:rPr>
              <w:t>Produkts var tikt izmantots tikai iekšzemē</w:t>
            </w:r>
          </w:p>
        </w:tc>
        <w:tc>
          <w:tcPr>
            <w:tcW w:w="154" w:type="pct"/>
          </w:tcPr>
          <w:p w:rsidR="008B32B3" w:rsidRPr="007E7B8A" w:rsidRDefault="008B32B3" w:rsidP="007E6579">
            <w:pPr>
              <w:pStyle w:val="Header"/>
              <w:jc w:val="center"/>
              <w:rPr>
                <w:rFonts w:ascii="Cambria" w:hAnsi="Cambria"/>
                <w:b/>
                <w:noProof/>
                <w:sz w:val="19"/>
                <w:szCs w:val="24"/>
                <w:lang w:val="en-US"/>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5" w:type="pct"/>
          </w:tcPr>
          <w:p w:rsidR="008B32B3" w:rsidRPr="007E7B8A" w:rsidRDefault="008B32B3" w:rsidP="007E6579">
            <w:pPr>
              <w:pStyle w:val="Header"/>
              <w:jc w:val="center"/>
              <w:rPr>
                <w:rFonts w:ascii="Cambria" w:hAnsi="Cambria"/>
                <w:noProof/>
                <w:sz w:val="19"/>
                <w:szCs w:val="24"/>
              </w:rPr>
            </w:pPr>
          </w:p>
        </w:tc>
        <w:tc>
          <w:tcPr>
            <w:tcW w:w="256" w:type="pct"/>
          </w:tcPr>
          <w:p w:rsidR="008B32B3" w:rsidRPr="007E7B8A" w:rsidRDefault="008B32B3" w:rsidP="007E6579">
            <w:pPr>
              <w:spacing w:after="0" w:line="240" w:lineRule="auto"/>
              <w:jc w:val="center"/>
              <w:rPr>
                <w:rFonts w:ascii="Cambria" w:hAnsi="Cambria"/>
                <w:noProof/>
                <w:sz w:val="19"/>
                <w:szCs w:val="24"/>
              </w:rPr>
            </w:pPr>
          </w:p>
        </w:tc>
        <w:tc>
          <w:tcPr>
            <w:tcW w:w="204" w:type="pct"/>
          </w:tcPr>
          <w:p w:rsidR="008B32B3" w:rsidRPr="007E7B8A" w:rsidRDefault="008B32B3" w:rsidP="007E6579">
            <w:pPr>
              <w:spacing w:after="0" w:line="240" w:lineRule="auto"/>
              <w:jc w:val="center"/>
              <w:rPr>
                <w:rFonts w:ascii="Cambria" w:hAnsi="Cambria"/>
                <w:noProof/>
                <w:sz w:val="19"/>
                <w:szCs w:val="24"/>
              </w:rPr>
            </w:pPr>
          </w:p>
        </w:tc>
        <w:tc>
          <w:tcPr>
            <w:tcW w:w="233" w:type="pct"/>
          </w:tcPr>
          <w:p w:rsidR="008B32B3" w:rsidRPr="007E7B8A" w:rsidRDefault="008B32B3" w:rsidP="007E6579">
            <w:pPr>
              <w:spacing w:after="0" w:line="240" w:lineRule="auto"/>
              <w:jc w:val="center"/>
              <w:rPr>
                <w:rFonts w:ascii="Cambria" w:hAnsi="Cambria"/>
                <w:noProof/>
                <w:sz w:val="19"/>
                <w:szCs w:val="24"/>
              </w:rPr>
            </w:pPr>
          </w:p>
        </w:tc>
        <w:tc>
          <w:tcPr>
            <w:tcW w:w="157" w:type="pct"/>
          </w:tcPr>
          <w:p w:rsidR="008B32B3" w:rsidRPr="007E7B8A" w:rsidRDefault="008B32B3" w:rsidP="007E6579">
            <w:pPr>
              <w:spacing w:after="0" w:line="240" w:lineRule="auto"/>
              <w:jc w:val="center"/>
              <w:rPr>
                <w:rFonts w:ascii="Cambria" w:hAnsi="Cambria"/>
                <w:noProof/>
                <w:sz w:val="19"/>
                <w:szCs w:val="24"/>
              </w:rPr>
            </w:pPr>
          </w:p>
        </w:tc>
        <w:tc>
          <w:tcPr>
            <w:tcW w:w="346" w:type="pct"/>
          </w:tcPr>
          <w:p w:rsidR="008B32B3" w:rsidRPr="007E7B8A" w:rsidRDefault="008B32B3" w:rsidP="007E6579">
            <w:pPr>
              <w:spacing w:after="0" w:line="240" w:lineRule="auto"/>
              <w:jc w:val="center"/>
              <w:rPr>
                <w:rFonts w:ascii="Cambria" w:hAnsi="Cambria"/>
                <w:noProof/>
                <w:sz w:val="19"/>
                <w:szCs w:val="24"/>
              </w:rPr>
            </w:pPr>
          </w:p>
        </w:tc>
        <w:tc>
          <w:tcPr>
            <w:tcW w:w="330" w:type="pct"/>
          </w:tcPr>
          <w:p w:rsidR="008B32B3" w:rsidRPr="007E7B8A" w:rsidRDefault="008B32B3" w:rsidP="007E6579">
            <w:pPr>
              <w:spacing w:after="0" w:line="240" w:lineRule="auto"/>
              <w:jc w:val="center"/>
              <w:rPr>
                <w:rFonts w:ascii="Cambria" w:hAnsi="Cambria"/>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5</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tiek pieņemts pie ierobežota skaita tirgotāju vai ierobežotā skaitā tirdzniecības vietu</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lastRenderedPageBreak/>
              <w:t>6</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ir izstrādāts tā, lai ierobežotu tā izmantošanu pie tirgotājiem, kas pārdod preces un pakalpojumus, kuri ir saistīti ar augstu finanšu noziegumu risku</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7</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tiek pieņemts kā maksāšanas līdzeklis tikai par dažiem zema riska pakalpojumiem vai produktiem</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8</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color w:val="FF0000"/>
                <w:sz w:val="19"/>
                <w:szCs w:val="24"/>
              </w:rPr>
            </w:pPr>
            <w:r w:rsidRPr="007E7B8A">
              <w:rPr>
                <w:rFonts w:ascii="Cambria" w:hAnsi="Cambria"/>
                <w:noProof/>
                <w:sz w:val="19"/>
                <w:szCs w:val="24"/>
              </w:rPr>
              <w:t>Attiecībā uz tirdzniecības finansēšanas darījumiem – neatkarīgi pārbaužu inspektori ir pārbaudījuši preču kvalitāti un daudzumu</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b/>
                <w:noProof/>
                <w:sz w:val="19"/>
                <w:szCs w:val="24"/>
              </w:rPr>
            </w:pP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b/>
                <w:noProof/>
                <w:sz w:val="19"/>
                <w:szCs w:val="24"/>
              </w:rPr>
            </w:pPr>
          </w:p>
        </w:tc>
        <w:tc>
          <w:tcPr>
            <w:tcW w:w="204" w:type="pct"/>
          </w:tcPr>
          <w:p w:rsidR="008B32B3" w:rsidRPr="007E7B8A" w:rsidRDefault="008B32B3" w:rsidP="007E6579">
            <w:pPr>
              <w:pStyle w:val="Header"/>
              <w:jc w:val="center"/>
              <w:rPr>
                <w:rFonts w:ascii="Cambria" w:hAnsi="Cambria"/>
                <w:b/>
                <w:noProof/>
                <w:sz w:val="19"/>
                <w:szCs w:val="24"/>
              </w:rPr>
            </w:pPr>
          </w:p>
        </w:tc>
        <w:tc>
          <w:tcPr>
            <w:tcW w:w="233" w:type="pct"/>
          </w:tcPr>
          <w:p w:rsidR="008B32B3" w:rsidRPr="007E7B8A" w:rsidRDefault="008B32B3" w:rsidP="007E6579">
            <w:pPr>
              <w:pStyle w:val="Header"/>
              <w:jc w:val="center"/>
              <w:rPr>
                <w:rFonts w:ascii="Cambria" w:hAnsi="Cambria"/>
                <w:b/>
                <w:noProof/>
                <w:sz w:val="19"/>
                <w:szCs w:val="24"/>
              </w:rPr>
            </w:pP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9</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Attiecībā uz tirdzniecības finansēšanas darījumiem – darījumos ir iesaistīti ilgstoši partneri, par kuriem ir pierādījumi par savstarpējiem darījumiem un kuriem iepriekš veikta uzticamības pārbaude</w:t>
            </w:r>
          </w:p>
        </w:tc>
        <w:tc>
          <w:tcPr>
            <w:tcW w:w="154" w:type="pct"/>
          </w:tcPr>
          <w:p w:rsidR="008B32B3" w:rsidRPr="007E7B8A" w:rsidRDefault="008B32B3" w:rsidP="007E6579">
            <w:pPr>
              <w:pStyle w:val="Header"/>
              <w:jc w:val="center"/>
              <w:rPr>
                <w:rFonts w:ascii="Cambria" w:hAnsi="Cambria"/>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noProof/>
                <w:sz w:val="19"/>
                <w:szCs w:val="24"/>
              </w:rPr>
            </w:pPr>
          </w:p>
        </w:tc>
        <w:tc>
          <w:tcPr>
            <w:tcW w:w="155" w:type="pct"/>
          </w:tcPr>
          <w:p w:rsidR="008B32B3" w:rsidRPr="007E7B8A" w:rsidRDefault="008B32B3" w:rsidP="007E6579">
            <w:pPr>
              <w:pStyle w:val="Header"/>
              <w:jc w:val="center"/>
              <w:rPr>
                <w:rFonts w:ascii="Cambria" w:hAnsi="Cambria"/>
                <w:noProof/>
                <w:sz w:val="19"/>
                <w:szCs w:val="24"/>
              </w:rPr>
            </w:pP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p>
        </w:tc>
        <w:tc>
          <w:tcPr>
            <w:tcW w:w="330" w:type="pct"/>
          </w:tcPr>
          <w:p w:rsidR="008B32B3" w:rsidRPr="007E7B8A" w:rsidRDefault="008B32B3" w:rsidP="007E6579">
            <w:pPr>
              <w:pStyle w:val="Header"/>
              <w:jc w:val="center"/>
              <w:rPr>
                <w:rFonts w:ascii="Cambria" w:hAnsi="Cambria"/>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10</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lang w:val="en-US"/>
              </w:rPr>
            </w:pPr>
            <w:r w:rsidRPr="007E7B8A">
              <w:rPr>
                <w:rFonts w:ascii="Cambria" w:hAnsi="Cambria"/>
                <w:noProof/>
                <w:sz w:val="19"/>
                <w:szCs w:val="24"/>
                <w:lang w:val="en-US"/>
              </w:rPr>
              <w:t>Produkts ir bez atpirkšanas vērtības vai bez ieguldījuma elementa</w:t>
            </w:r>
          </w:p>
        </w:tc>
        <w:tc>
          <w:tcPr>
            <w:tcW w:w="154" w:type="pct"/>
          </w:tcPr>
          <w:p w:rsidR="008B32B3" w:rsidRPr="007E7B8A" w:rsidRDefault="008B32B3" w:rsidP="007E6579">
            <w:pPr>
              <w:pStyle w:val="Header"/>
              <w:jc w:val="center"/>
              <w:rPr>
                <w:rFonts w:ascii="Cambria" w:hAnsi="Cambria"/>
                <w:b/>
                <w:noProof/>
                <w:sz w:val="19"/>
                <w:szCs w:val="24"/>
                <w:lang w:val="en-US"/>
              </w:rPr>
            </w:pPr>
          </w:p>
        </w:tc>
        <w:tc>
          <w:tcPr>
            <w:tcW w:w="154" w:type="pct"/>
            <w:shd w:val="clear" w:color="auto" w:fill="FFFFFF"/>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shd w:val="clear" w:color="auto" w:fill="FFFFFF"/>
          </w:tcPr>
          <w:p w:rsidR="008B32B3" w:rsidRPr="007E7B8A" w:rsidRDefault="008B32B3" w:rsidP="007E6579">
            <w:pPr>
              <w:spacing w:after="0" w:line="240" w:lineRule="auto"/>
              <w:jc w:val="center"/>
              <w:rPr>
                <w:rFonts w:ascii="Cambria" w:hAnsi="Cambria"/>
                <w:noProof/>
                <w:sz w:val="19"/>
                <w:szCs w:val="24"/>
              </w:rPr>
            </w:pPr>
            <w:r w:rsidRPr="007E7B8A">
              <w:rPr>
                <w:rFonts w:ascii="Cambria" w:hAnsi="Cambria"/>
                <w:noProof/>
                <w:sz w:val="19"/>
                <w:szCs w:val="24"/>
              </w:rPr>
              <w:t>X</w:t>
            </w:r>
          </w:p>
        </w:tc>
        <w:tc>
          <w:tcPr>
            <w:tcW w:w="155" w:type="pct"/>
          </w:tcPr>
          <w:p w:rsidR="008B32B3" w:rsidRPr="007E7B8A" w:rsidRDefault="008B32B3" w:rsidP="007E6579">
            <w:pPr>
              <w:spacing w:after="0" w:line="240" w:lineRule="auto"/>
              <w:jc w:val="center"/>
              <w:rPr>
                <w:rFonts w:ascii="Cambria" w:hAnsi="Cambria"/>
                <w:noProof/>
                <w:sz w:val="19"/>
                <w:szCs w:val="24"/>
                <w:highlight w:val="yellow"/>
              </w:rPr>
            </w:pPr>
          </w:p>
        </w:tc>
        <w:tc>
          <w:tcPr>
            <w:tcW w:w="256" w:type="pct"/>
          </w:tcPr>
          <w:p w:rsidR="008B32B3" w:rsidRPr="007E7B8A" w:rsidRDefault="008B32B3" w:rsidP="007E6579">
            <w:pPr>
              <w:spacing w:after="0" w:line="240" w:lineRule="auto"/>
              <w:jc w:val="center"/>
              <w:rPr>
                <w:rFonts w:ascii="Cambria" w:hAnsi="Cambria"/>
                <w:noProof/>
                <w:sz w:val="19"/>
                <w:szCs w:val="24"/>
                <w:highlight w:val="yellow"/>
              </w:rPr>
            </w:pPr>
          </w:p>
        </w:tc>
        <w:tc>
          <w:tcPr>
            <w:tcW w:w="204" w:type="pct"/>
          </w:tcPr>
          <w:p w:rsidR="008B32B3" w:rsidRPr="007E7B8A" w:rsidRDefault="008B32B3" w:rsidP="007E6579">
            <w:pPr>
              <w:spacing w:after="0" w:line="240" w:lineRule="auto"/>
              <w:jc w:val="center"/>
              <w:rPr>
                <w:rFonts w:ascii="Cambria" w:hAnsi="Cambria"/>
                <w:noProof/>
                <w:sz w:val="19"/>
                <w:szCs w:val="24"/>
                <w:highlight w:val="yellow"/>
              </w:rPr>
            </w:pPr>
          </w:p>
        </w:tc>
        <w:tc>
          <w:tcPr>
            <w:tcW w:w="233" w:type="pct"/>
          </w:tcPr>
          <w:p w:rsidR="008B32B3" w:rsidRPr="007E7B8A" w:rsidRDefault="008B32B3" w:rsidP="007E6579">
            <w:pPr>
              <w:spacing w:after="0" w:line="240" w:lineRule="auto"/>
              <w:jc w:val="center"/>
              <w:rPr>
                <w:rFonts w:ascii="Cambria" w:hAnsi="Cambria"/>
                <w:noProof/>
                <w:sz w:val="19"/>
                <w:szCs w:val="24"/>
                <w:highlight w:val="yellow"/>
              </w:rPr>
            </w:pPr>
          </w:p>
        </w:tc>
        <w:tc>
          <w:tcPr>
            <w:tcW w:w="157" w:type="pct"/>
          </w:tcPr>
          <w:p w:rsidR="008B32B3" w:rsidRPr="007E7B8A" w:rsidRDefault="008B32B3" w:rsidP="007E6579">
            <w:pPr>
              <w:spacing w:after="0" w:line="240" w:lineRule="auto"/>
              <w:jc w:val="center"/>
              <w:rPr>
                <w:rFonts w:ascii="Cambria" w:hAnsi="Cambria"/>
                <w:noProof/>
                <w:sz w:val="19"/>
                <w:szCs w:val="24"/>
                <w:highlight w:val="yellow"/>
              </w:rPr>
            </w:pPr>
          </w:p>
        </w:tc>
        <w:tc>
          <w:tcPr>
            <w:tcW w:w="346" w:type="pct"/>
          </w:tcPr>
          <w:p w:rsidR="008B32B3" w:rsidRPr="007E7B8A" w:rsidRDefault="008B32B3" w:rsidP="007E6579">
            <w:pPr>
              <w:spacing w:after="0" w:line="240" w:lineRule="auto"/>
              <w:jc w:val="center"/>
              <w:rPr>
                <w:rFonts w:ascii="Cambria" w:hAnsi="Cambria"/>
                <w:noProof/>
                <w:sz w:val="19"/>
                <w:szCs w:val="24"/>
                <w:highlight w:val="yellow"/>
              </w:rPr>
            </w:pPr>
          </w:p>
        </w:tc>
        <w:tc>
          <w:tcPr>
            <w:tcW w:w="330" w:type="pct"/>
          </w:tcPr>
          <w:p w:rsidR="008B32B3" w:rsidRPr="007E7B8A" w:rsidRDefault="008B32B3" w:rsidP="007E6579">
            <w:pPr>
              <w:spacing w:after="0" w:line="240" w:lineRule="auto"/>
              <w:jc w:val="center"/>
              <w:rPr>
                <w:rFonts w:ascii="Cambria" w:hAnsi="Cambria"/>
                <w:noProof/>
                <w:sz w:val="19"/>
                <w:szCs w:val="24"/>
                <w:highlight w:val="yellow"/>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11</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paredz kopējā ieguldījuma zemu vērtību</w:t>
            </w: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4" w:type="pct"/>
          </w:tcPr>
          <w:p w:rsidR="008B32B3" w:rsidRPr="007E7B8A" w:rsidRDefault="008B32B3" w:rsidP="007E6579">
            <w:pPr>
              <w:spacing w:after="0" w:line="240" w:lineRule="auto"/>
              <w:jc w:val="center"/>
              <w:rPr>
                <w:rFonts w:ascii="Cambria" w:hAnsi="Cambria"/>
                <w:noProof/>
                <w:sz w:val="19"/>
                <w:szCs w:val="24"/>
                <w:highlight w:val="yellow"/>
              </w:rPr>
            </w:pPr>
          </w:p>
        </w:tc>
        <w:tc>
          <w:tcPr>
            <w:tcW w:w="358" w:type="pct"/>
          </w:tcPr>
          <w:p w:rsidR="008B32B3" w:rsidRPr="007E7B8A" w:rsidRDefault="008B32B3" w:rsidP="007E6579">
            <w:pPr>
              <w:spacing w:after="0" w:line="240" w:lineRule="auto"/>
              <w:jc w:val="center"/>
              <w:rPr>
                <w:rFonts w:ascii="Cambria" w:hAnsi="Cambria"/>
                <w:noProof/>
                <w:sz w:val="19"/>
                <w:szCs w:val="24"/>
                <w:highlight w:val="yellow"/>
              </w:rPr>
            </w:pPr>
          </w:p>
        </w:tc>
        <w:tc>
          <w:tcPr>
            <w:tcW w:w="155" w:type="pct"/>
          </w:tcPr>
          <w:p w:rsidR="008B32B3" w:rsidRPr="007E7B8A" w:rsidRDefault="008B32B3" w:rsidP="007E6579">
            <w:pPr>
              <w:pStyle w:val="Header"/>
              <w:jc w:val="center"/>
              <w:rPr>
                <w:rFonts w:ascii="Cambria" w:hAnsi="Cambria"/>
                <w:noProof/>
                <w:sz w:val="19"/>
                <w:szCs w:val="24"/>
              </w:rPr>
            </w:pP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p>
        </w:tc>
        <w:tc>
          <w:tcPr>
            <w:tcW w:w="330" w:type="pct"/>
          </w:tcPr>
          <w:p w:rsidR="008B32B3" w:rsidRPr="007E7B8A" w:rsidRDefault="008B32B3" w:rsidP="007E6579">
            <w:pPr>
              <w:pStyle w:val="Header"/>
              <w:jc w:val="center"/>
              <w:rPr>
                <w:rFonts w:ascii="Cambria" w:hAnsi="Cambria"/>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12</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Pakalpojuma sniegšana/produkta izmantošana neparedz finanšu līdzekļu pārvaldīšanu (ieskaitot iemaksu saņemšanu un izmaksu veikšanu atbilstoši noslēgtajam līgumam)</w:t>
            </w: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4" w:type="pct"/>
          </w:tcPr>
          <w:p w:rsidR="008B32B3" w:rsidRPr="007E7B8A" w:rsidRDefault="008B32B3" w:rsidP="007E6579">
            <w:pPr>
              <w:spacing w:after="0" w:line="240" w:lineRule="auto"/>
              <w:jc w:val="center"/>
              <w:rPr>
                <w:rFonts w:ascii="Cambria" w:hAnsi="Cambria"/>
                <w:noProof/>
                <w:sz w:val="19"/>
                <w:szCs w:val="24"/>
                <w:highlight w:val="yellow"/>
              </w:rPr>
            </w:pPr>
          </w:p>
        </w:tc>
        <w:tc>
          <w:tcPr>
            <w:tcW w:w="358" w:type="pct"/>
          </w:tcPr>
          <w:p w:rsidR="008B32B3" w:rsidRPr="007E7B8A" w:rsidRDefault="008B32B3" w:rsidP="007E6579">
            <w:pPr>
              <w:spacing w:after="0" w:line="240" w:lineRule="auto"/>
              <w:jc w:val="center"/>
              <w:rPr>
                <w:rFonts w:ascii="Cambria" w:hAnsi="Cambria"/>
                <w:noProof/>
                <w:sz w:val="19"/>
                <w:szCs w:val="24"/>
                <w:highlight w:val="yellow"/>
              </w:rPr>
            </w:pPr>
          </w:p>
        </w:tc>
        <w:tc>
          <w:tcPr>
            <w:tcW w:w="155" w:type="pct"/>
          </w:tcPr>
          <w:p w:rsidR="008B32B3" w:rsidRPr="007E7B8A" w:rsidRDefault="008B32B3" w:rsidP="007E6579">
            <w:pPr>
              <w:pStyle w:val="Header"/>
              <w:jc w:val="center"/>
              <w:rPr>
                <w:rFonts w:ascii="Cambria" w:hAnsi="Cambria"/>
                <w:noProof/>
                <w:sz w:val="19"/>
                <w:szCs w:val="24"/>
              </w:rPr>
            </w:pP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p>
        </w:tc>
        <w:tc>
          <w:tcPr>
            <w:tcW w:w="330" w:type="pct"/>
          </w:tcPr>
          <w:p w:rsidR="008B32B3" w:rsidRPr="007E7B8A" w:rsidRDefault="008B32B3" w:rsidP="007E6579">
            <w:pPr>
              <w:pStyle w:val="Header"/>
              <w:jc w:val="center"/>
              <w:rPr>
                <w:rFonts w:ascii="Cambria" w:hAnsi="Cambria"/>
                <w:noProof/>
                <w:sz w:val="19"/>
                <w:szCs w:val="24"/>
              </w:rPr>
            </w:pP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13</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ir pieejams tikai ar darba devēju starpniecību</w:t>
            </w:r>
            <w:r w:rsidRPr="007E7B8A">
              <w:rPr>
                <w:rFonts w:ascii="Cambria" w:hAnsi="Cambria"/>
                <w:noProof/>
                <w:sz w:val="19"/>
              </w:rPr>
              <w:t xml:space="preserve"> </w:t>
            </w:r>
            <w:r w:rsidRPr="007E7B8A">
              <w:rPr>
                <w:rFonts w:ascii="Cambria" w:hAnsi="Cambria"/>
                <w:noProof/>
                <w:sz w:val="19"/>
                <w:szCs w:val="24"/>
              </w:rPr>
              <w:t>(piemēram, pensiju fonds vai līdzīga shēma, kas nodrošina pensijas pabalstus darbiniekiem, vai dzīvības apdrošināšana ar uzkrājumu fondos), ja iemaksas tiek veiktas no algu izmaksām un ja shēmas noteikumi neatļauj cedēt biedra līdzdalības daļu shēmā</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rPr>
            </w:pPr>
          </w:p>
        </w:tc>
        <w:tc>
          <w:tcPr>
            <w:tcW w:w="358" w:type="pct"/>
          </w:tcPr>
          <w:p w:rsidR="008B32B3" w:rsidRPr="007E7B8A" w:rsidRDefault="008B32B3" w:rsidP="007E6579">
            <w:pPr>
              <w:pStyle w:val="Header"/>
              <w:jc w:val="center"/>
              <w:rPr>
                <w:rFonts w:ascii="Cambria" w:hAnsi="Cambria"/>
                <w:noProof/>
                <w:sz w:val="19"/>
                <w:szCs w:val="24"/>
              </w:rPr>
            </w:pPr>
          </w:p>
        </w:tc>
        <w:tc>
          <w:tcPr>
            <w:tcW w:w="155"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30"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14</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neparedz pirmstermiņa izbeigšanu</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highlight w:val="yellow"/>
              </w:rPr>
            </w:pPr>
          </w:p>
        </w:tc>
        <w:tc>
          <w:tcPr>
            <w:tcW w:w="358" w:type="pct"/>
          </w:tcPr>
          <w:p w:rsidR="008B32B3" w:rsidRPr="007E7B8A" w:rsidRDefault="008B32B3" w:rsidP="007E6579">
            <w:pPr>
              <w:pStyle w:val="Header"/>
              <w:jc w:val="center"/>
              <w:rPr>
                <w:rFonts w:ascii="Cambria" w:hAnsi="Cambria"/>
                <w:noProof/>
                <w:sz w:val="19"/>
                <w:szCs w:val="24"/>
              </w:rPr>
            </w:pPr>
          </w:p>
        </w:tc>
        <w:tc>
          <w:tcPr>
            <w:tcW w:w="155"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30"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15</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Produkts paredz nosacījumus, kas ir jāizpilda, lai iegūtu nodokļu atvieglojumus</w:t>
            </w:r>
          </w:p>
        </w:tc>
        <w:tc>
          <w:tcPr>
            <w:tcW w:w="154" w:type="pct"/>
          </w:tcPr>
          <w:p w:rsidR="008B32B3" w:rsidRPr="007E7B8A" w:rsidRDefault="008B32B3" w:rsidP="007E6579">
            <w:pPr>
              <w:pStyle w:val="Header"/>
              <w:jc w:val="center"/>
              <w:rPr>
                <w:rFonts w:ascii="Cambria" w:hAnsi="Cambria"/>
                <w:b/>
                <w:noProof/>
                <w:sz w:val="19"/>
                <w:szCs w:val="24"/>
              </w:rPr>
            </w:pPr>
          </w:p>
        </w:tc>
        <w:tc>
          <w:tcPr>
            <w:tcW w:w="154" w:type="pct"/>
          </w:tcPr>
          <w:p w:rsidR="008B32B3" w:rsidRPr="007E7B8A" w:rsidRDefault="008B32B3" w:rsidP="007E6579">
            <w:pPr>
              <w:pStyle w:val="Header"/>
              <w:jc w:val="center"/>
              <w:rPr>
                <w:rFonts w:ascii="Cambria" w:hAnsi="Cambria"/>
                <w:noProof/>
                <w:sz w:val="19"/>
                <w:szCs w:val="24"/>
                <w:highlight w:val="yellow"/>
              </w:rPr>
            </w:pPr>
          </w:p>
        </w:tc>
        <w:tc>
          <w:tcPr>
            <w:tcW w:w="358" w:type="pct"/>
          </w:tcPr>
          <w:p w:rsidR="008B32B3" w:rsidRPr="007E7B8A" w:rsidRDefault="008B32B3" w:rsidP="007E6579">
            <w:pPr>
              <w:pStyle w:val="Header"/>
              <w:jc w:val="center"/>
              <w:rPr>
                <w:rFonts w:ascii="Cambria" w:hAnsi="Cambria"/>
                <w:noProof/>
                <w:sz w:val="19"/>
                <w:szCs w:val="24"/>
              </w:rPr>
            </w:pPr>
          </w:p>
        </w:tc>
        <w:tc>
          <w:tcPr>
            <w:tcW w:w="155"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56" w:type="pct"/>
          </w:tcPr>
          <w:p w:rsidR="008B32B3" w:rsidRPr="007E7B8A" w:rsidRDefault="008B32B3" w:rsidP="007E6579">
            <w:pPr>
              <w:pStyle w:val="Header"/>
              <w:jc w:val="center"/>
              <w:rPr>
                <w:rFonts w:ascii="Cambria" w:hAnsi="Cambria"/>
                <w:noProof/>
                <w:sz w:val="19"/>
                <w:szCs w:val="24"/>
              </w:rPr>
            </w:pPr>
          </w:p>
        </w:tc>
        <w:tc>
          <w:tcPr>
            <w:tcW w:w="204" w:type="pct"/>
          </w:tcPr>
          <w:p w:rsidR="008B32B3" w:rsidRPr="007E7B8A" w:rsidRDefault="008B32B3" w:rsidP="007E6579">
            <w:pPr>
              <w:pStyle w:val="Header"/>
              <w:jc w:val="center"/>
              <w:rPr>
                <w:rFonts w:ascii="Cambria" w:hAnsi="Cambria"/>
                <w:noProof/>
                <w:sz w:val="19"/>
                <w:szCs w:val="24"/>
              </w:rPr>
            </w:pPr>
          </w:p>
        </w:tc>
        <w:tc>
          <w:tcPr>
            <w:tcW w:w="233" w:type="pct"/>
          </w:tcPr>
          <w:p w:rsidR="008B32B3" w:rsidRPr="007E7B8A" w:rsidRDefault="008B32B3" w:rsidP="007E6579">
            <w:pPr>
              <w:pStyle w:val="Header"/>
              <w:jc w:val="center"/>
              <w:rPr>
                <w:rFonts w:ascii="Cambria" w:hAnsi="Cambria"/>
                <w:noProof/>
                <w:sz w:val="19"/>
                <w:szCs w:val="24"/>
              </w:rPr>
            </w:pPr>
          </w:p>
        </w:tc>
        <w:tc>
          <w:tcPr>
            <w:tcW w:w="157" w:type="pct"/>
          </w:tcPr>
          <w:p w:rsidR="008B32B3" w:rsidRPr="007E7B8A" w:rsidRDefault="008B32B3" w:rsidP="007E6579">
            <w:pPr>
              <w:pStyle w:val="Header"/>
              <w:jc w:val="center"/>
              <w:rPr>
                <w:rFonts w:ascii="Cambria" w:hAnsi="Cambria"/>
                <w:noProof/>
                <w:sz w:val="19"/>
                <w:szCs w:val="24"/>
              </w:rPr>
            </w:pPr>
          </w:p>
        </w:tc>
        <w:tc>
          <w:tcPr>
            <w:tcW w:w="346"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30"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16</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lang w:val="en-US"/>
              </w:rPr>
            </w:pPr>
            <w:r w:rsidRPr="007E7B8A">
              <w:rPr>
                <w:rFonts w:ascii="Cambria" w:hAnsi="Cambria"/>
                <w:noProof/>
                <w:sz w:val="19"/>
                <w:szCs w:val="24"/>
                <w:lang w:val="en-US"/>
              </w:rPr>
              <w:t>Produkts nav izmantojams kā nodrošinājums</w:t>
            </w:r>
          </w:p>
        </w:tc>
        <w:tc>
          <w:tcPr>
            <w:tcW w:w="154" w:type="pct"/>
          </w:tcPr>
          <w:p w:rsidR="008B32B3" w:rsidRPr="007E7B8A" w:rsidRDefault="008B32B3" w:rsidP="007E6579">
            <w:pPr>
              <w:pStyle w:val="Header"/>
              <w:jc w:val="center"/>
              <w:rPr>
                <w:rFonts w:ascii="Cambria" w:hAnsi="Cambria"/>
                <w:b/>
                <w:noProof/>
                <w:sz w:val="19"/>
                <w:szCs w:val="24"/>
                <w:lang w:val="en-US"/>
              </w:rPr>
            </w:pPr>
          </w:p>
        </w:tc>
        <w:tc>
          <w:tcPr>
            <w:tcW w:w="154" w:type="pct"/>
          </w:tcPr>
          <w:p w:rsidR="008B32B3" w:rsidRPr="007E7B8A" w:rsidRDefault="008B32B3" w:rsidP="007E6579">
            <w:pPr>
              <w:pStyle w:val="Header"/>
              <w:jc w:val="center"/>
              <w:rPr>
                <w:rFonts w:ascii="Cambria" w:hAnsi="Cambria"/>
                <w:noProof/>
                <w:sz w:val="19"/>
                <w:szCs w:val="24"/>
                <w:highlight w:val="yellow"/>
                <w:lang w:val="en-US"/>
              </w:rPr>
            </w:pPr>
          </w:p>
        </w:tc>
        <w:tc>
          <w:tcPr>
            <w:tcW w:w="358" w:type="pct"/>
          </w:tcPr>
          <w:p w:rsidR="008B32B3" w:rsidRPr="007E7B8A" w:rsidRDefault="008B32B3" w:rsidP="007E6579">
            <w:pPr>
              <w:pStyle w:val="Header"/>
              <w:jc w:val="center"/>
              <w:rPr>
                <w:rFonts w:ascii="Cambria" w:hAnsi="Cambria"/>
                <w:b/>
                <w:noProof/>
                <w:sz w:val="19"/>
                <w:szCs w:val="24"/>
                <w:lang w:val="en-US"/>
              </w:rPr>
            </w:pPr>
          </w:p>
        </w:tc>
        <w:tc>
          <w:tcPr>
            <w:tcW w:w="155" w:type="pct"/>
          </w:tcPr>
          <w:p w:rsidR="008B32B3" w:rsidRPr="007E7B8A" w:rsidRDefault="008B32B3" w:rsidP="007E6579">
            <w:pPr>
              <w:pStyle w:val="Header"/>
              <w:jc w:val="center"/>
              <w:rPr>
                <w:rFonts w:ascii="Cambria" w:hAnsi="Cambria"/>
                <w:b/>
                <w:noProof/>
                <w:sz w:val="19"/>
                <w:szCs w:val="24"/>
                <w:lang w:val="en-US"/>
              </w:rPr>
            </w:pPr>
          </w:p>
        </w:tc>
        <w:tc>
          <w:tcPr>
            <w:tcW w:w="256" w:type="pct"/>
          </w:tcPr>
          <w:p w:rsidR="008B32B3" w:rsidRPr="007E7B8A" w:rsidRDefault="008B32B3" w:rsidP="007E6579">
            <w:pPr>
              <w:pStyle w:val="Header"/>
              <w:jc w:val="center"/>
              <w:rPr>
                <w:rFonts w:ascii="Cambria" w:hAnsi="Cambria"/>
                <w:b/>
                <w:noProof/>
                <w:sz w:val="19"/>
                <w:szCs w:val="24"/>
                <w:lang w:val="en-US"/>
              </w:rPr>
            </w:pPr>
          </w:p>
        </w:tc>
        <w:tc>
          <w:tcPr>
            <w:tcW w:w="204" w:type="pct"/>
          </w:tcPr>
          <w:p w:rsidR="008B32B3" w:rsidRPr="007E7B8A" w:rsidRDefault="008B32B3" w:rsidP="007E6579">
            <w:pPr>
              <w:pStyle w:val="Header"/>
              <w:jc w:val="center"/>
              <w:rPr>
                <w:rFonts w:ascii="Cambria" w:hAnsi="Cambria"/>
                <w:b/>
                <w:noProof/>
                <w:sz w:val="19"/>
                <w:szCs w:val="24"/>
                <w:lang w:val="en-US"/>
              </w:rPr>
            </w:pPr>
          </w:p>
        </w:tc>
        <w:tc>
          <w:tcPr>
            <w:tcW w:w="233" w:type="pct"/>
          </w:tcPr>
          <w:p w:rsidR="008B32B3" w:rsidRPr="007E7B8A" w:rsidRDefault="008B32B3" w:rsidP="007E6579">
            <w:pPr>
              <w:pStyle w:val="Header"/>
              <w:jc w:val="center"/>
              <w:rPr>
                <w:rFonts w:ascii="Cambria" w:hAnsi="Cambria"/>
                <w:b/>
                <w:noProof/>
                <w:sz w:val="19"/>
                <w:szCs w:val="24"/>
                <w:lang w:val="en-US"/>
              </w:rPr>
            </w:pPr>
          </w:p>
        </w:tc>
        <w:tc>
          <w:tcPr>
            <w:tcW w:w="157" w:type="pct"/>
          </w:tcPr>
          <w:p w:rsidR="008B32B3" w:rsidRPr="007E7B8A" w:rsidRDefault="008B32B3" w:rsidP="007E6579">
            <w:pPr>
              <w:pStyle w:val="Header"/>
              <w:jc w:val="center"/>
              <w:rPr>
                <w:rFonts w:ascii="Cambria" w:hAnsi="Cambria"/>
                <w:b/>
                <w:noProof/>
                <w:sz w:val="19"/>
                <w:szCs w:val="24"/>
                <w:lang w:val="en-US"/>
              </w:rPr>
            </w:pPr>
          </w:p>
        </w:tc>
        <w:tc>
          <w:tcPr>
            <w:tcW w:w="346"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30"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r>
      <w:tr w:rsidR="008B32B3" w:rsidRPr="007E7B8A" w:rsidTr="007E6579">
        <w:trPr>
          <w:cantSplit/>
          <w:jc w:val="center"/>
        </w:trPr>
        <w:tc>
          <w:tcPr>
            <w:tcW w:w="205" w:type="pct"/>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17</w:t>
            </w:r>
            <w:r>
              <w:rPr>
                <w:rFonts w:ascii="Cambria" w:hAnsi="Cambria"/>
                <w:noProof/>
                <w:sz w:val="19"/>
                <w:szCs w:val="24"/>
              </w:rPr>
              <w:t xml:space="preserve">. </w:t>
            </w:r>
          </w:p>
        </w:tc>
        <w:tc>
          <w:tcPr>
            <w:tcW w:w="68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Pakalpojumu un produktu risks</w:t>
            </w:r>
          </w:p>
        </w:tc>
        <w:tc>
          <w:tcPr>
            <w:tcW w:w="1764" w:type="pct"/>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 xml:space="preserve">Tiek paredzēts un nodrošināts, ka investīciju kontā netiek pieļauti ienākošie maksājumi no trešajām personām un izejošie maksājumi trešajām personām </w:t>
            </w:r>
          </w:p>
        </w:tc>
        <w:tc>
          <w:tcPr>
            <w:tcW w:w="154" w:type="pct"/>
          </w:tcPr>
          <w:p w:rsidR="008B32B3" w:rsidRPr="007E7B8A" w:rsidRDefault="008B32B3" w:rsidP="007E6579">
            <w:pPr>
              <w:pStyle w:val="Header"/>
              <w:jc w:val="center"/>
              <w:rPr>
                <w:rFonts w:ascii="Cambria" w:hAnsi="Cambria"/>
                <w:b/>
                <w:noProof/>
                <w:sz w:val="19"/>
                <w:szCs w:val="24"/>
                <w:highlight w:val="yellow"/>
              </w:rPr>
            </w:pPr>
          </w:p>
        </w:tc>
        <w:tc>
          <w:tcPr>
            <w:tcW w:w="15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tcPr>
          <w:p w:rsidR="008B32B3" w:rsidRPr="007E7B8A" w:rsidRDefault="008B32B3" w:rsidP="007E6579">
            <w:pPr>
              <w:pStyle w:val="Header"/>
              <w:jc w:val="center"/>
              <w:rPr>
                <w:rFonts w:ascii="Cambria" w:hAnsi="Cambria"/>
                <w:b/>
                <w:noProof/>
                <w:sz w:val="19"/>
                <w:szCs w:val="24"/>
              </w:rPr>
            </w:pPr>
          </w:p>
        </w:tc>
        <w:tc>
          <w:tcPr>
            <w:tcW w:w="155" w:type="pct"/>
          </w:tcPr>
          <w:p w:rsidR="008B32B3" w:rsidRPr="007E7B8A" w:rsidRDefault="008B32B3" w:rsidP="007E6579">
            <w:pPr>
              <w:pStyle w:val="Header"/>
              <w:jc w:val="center"/>
              <w:rPr>
                <w:rFonts w:ascii="Cambria" w:hAnsi="Cambria"/>
                <w:b/>
                <w:noProof/>
                <w:sz w:val="19"/>
                <w:szCs w:val="24"/>
              </w:rPr>
            </w:pPr>
          </w:p>
        </w:tc>
        <w:tc>
          <w:tcPr>
            <w:tcW w:w="256"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04" w:type="pct"/>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33" w:type="pct"/>
          </w:tcPr>
          <w:p w:rsidR="008B32B3" w:rsidRPr="007E7B8A" w:rsidRDefault="008B32B3" w:rsidP="007E6579">
            <w:pPr>
              <w:pStyle w:val="Header"/>
              <w:jc w:val="center"/>
              <w:rPr>
                <w:rFonts w:ascii="Cambria" w:hAnsi="Cambria"/>
                <w:b/>
                <w:noProof/>
                <w:sz w:val="19"/>
                <w:szCs w:val="24"/>
              </w:rPr>
            </w:pPr>
            <w:r w:rsidRPr="007E7B8A">
              <w:rPr>
                <w:rFonts w:ascii="Cambria" w:hAnsi="Cambria"/>
                <w:b/>
                <w:noProof/>
                <w:sz w:val="19"/>
                <w:szCs w:val="24"/>
              </w:rPr>
              <w:t>X</w:t>
            </w:r>
          </w:p>
        </w:tc>
        <w:tc>
          <w:tcPr>
            <w:tcW w:w="157" w:type="pct"/>
          </w:tcPr>
          <w:p w:rsidR="008B32B3" w:rsidRPr="007E7B8A" w:rsidRDefault="008B32B3" w:rsidP="007E6579">
            <w:pPr>
              <w:pStyle w:val="Header"/>
              <w:jc w:val="center"/>
              <w:rPr>
                <w:rFonts w:ascii="Cambria" w:hAnsi="Cambria"/>
                <w:b/>
                <w:noProof/>
                <w:sz w:val="19"/>
                <w:szCs w:val="24"/>
              </w:rPr>
            </w:pPr>
          </w:p>
        </w:tc>
        <w:tc>
          <w:tcPr>
            <w:tcW w:w="346" w:type="pct"/>
          </w:tcPr>
          <w:p w:rsidR="008B32B3" w:rsidRPr="007E7B8A" w:rsidRDefault="008B32B3" w:rsidP="007E6579">
            <w:pPr>
              <w:pStyle w:val="Header"/>
              <w:jc w:val="center"/>
              <w:rPr>
                <w:rFonts w:ascii="Cambria" w:hAnsi="Cambria"/>
                <w:b/>
                <w:noProof/>
                <w:sz w:val="19"/>
                <w:szCs w:val="24"/>
              </w:rPr>
            </w:pPr>
          </w:p>
        </w:tc>
        <w:tc>
          <w:tcPr>
            <w:tcW w:w="330" w:type="pct"/>
          </w:tcPr>
          <w:p w:rsidR="008B32B3" w:rsidRPr="007E7B8A" w:rsidRDefault="008B32B3" w:rsidP="007E6579">
            <w:pPr>
              <w:pStyle w:val="Header"/>
              <w:jc w:val="center"/>
              <w:rPr>
                <w:rFonts w:ascii="Cambria" w:hAnsi="Cambria"/>
                <w:b/>
                <w:noProof/>
                <w:sz w:val="19"/>
                <w:szCs w:val="24"/>
              </w:rPr>
            </w:pPr>
          </w:p>
        </w:tc>
      </w:tr>
      <w:tr w:rsidR="008B32B3" w:rsidRPr="007E7B8A" w:rsidTr="007E6579">
        <w:trPr>
          <w:cantSplit/>
          <w:jc w:val="center"/>
        </w:trPr>
        <w:tc>
          <w:tcPr>
            <w:tcW w:w="205" w:type="pct"/>
            <w:shd w:val="clear" w:color="auto" w:fill="auto"/>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lastRenderedPageBreak/>
              <w:t>18</w:t>
            </w:r>
            <w:r>
              <w:rPr>
                <w:rFonts w:ascii="Cambria" w:hAnsi="Cambria"/>
                <w:noProof/>
                <w:sz w:val="19"/>
                <w:szCs w:val="24"/>
              </w:rPr>
              <w:t xml:space="preserve">. </w:t>
            </w:r>
          </w:p>
        </w:tc>
        <w:tc>
          <w:tcPr>
            <w:tcW w:w="684" w:type="pct"/>
            <w:shd w:val="clear" w:color="auto" w:fill="auto"/>
          </w:tcPr>
          <w:p w:rsidR="008B32B3" w:rsidRPr="007E7B8A" w:rsidRDefault="008B32B3" w:rsidP="007E6579">
            <w:pPr>
              <w:pStyle w:val="Header"/>
              <w:jc w:val="center"/>
              <w:rPr>
                <w:rFonts w:ascii="Cambria" w:hAnsi="Cambria"/>
                <w:b/>
                <w:noProof/>
                <w:sz w:val="19"/>
                <w:szCs w:val="24"/>
              </w:rPr>
            </w:pPr>
            <w:r w:rsidRPr="007E7B8A">
              <w:rPr>
                <w:rFonts w:ascii="Cambria" w:hAnsi="Cambria"/>
                <w:noProof/>
                <w:sz w:val="19"/>
                <w:szCs w:val="24"/>
              </w:rPr>
              <w:t>Klienta risks</w:t>
            </w:r>
          </w:p>
        </w:tc>
        <w:tc>
          <w:tcPr>
            <w:tcW w:w="1764" w:type="pct"/>
            <w:shd w:val="clear" w:color="auto" w:fill="auto"/>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Attiecībā uz tirdzniecības finansēšanas darījumiem – klienta akcijas ir kotētas biržas sarakstā saskaņā ar informācijas atklāšanas prasībām, kas līdzīgas Eiropas Savienības prasībām</w:t>
            </w:r>
          </w:p>
        </w:tc>
        <w:tc>
          <w:tcPr>
            <w:tcW w:w="154" w:type="pct"/>
            <w:shd w:val="clear" w:color="auto" w:fill="auto"/>
          </w:tcPr>
          <w:p w:rsidR="008B32B3" w:rsidRPr="007E7B8A" w:rsidRDefault="008B32B3" w:rsidP="007E6579">
            <w:pPr>
              <w:pStyle w:val="Header"/>
              <w:jc w:val="center"/>
              <w:rPr>
                <w:rFonts w:ascii="Cambria" w:hAnsi="Cambria"/>
                <w:b/>
                <w:noProof/>
                <w:sz w:val="19"/>
                <w:szCs w:val="24"/>
              </w:rPr>
            </w:pPr>
          </w:p>
        </w:tc>
        <w:tc>
          <w:tcPr>
            <w:tcW w:w="154"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shd w:val="clear" w:color="auto" w:fill="auto"/>
          </w:tcPr>
          <w:p w:rsidR="008B32B3" w:rsidRPr="007E7B8A" w:rsidRDefault="008B32B3" w:rsidP="007E6579">
            <w:pPr>
              <w:pStyle w:val="Header"/>
              <w:jc w:val="center"/>
              <w:rPr>
                <w:rFonts w:ascii="Cambria" w:hAnsi="Cambria"/>
                <w:b/>
                <w:noProof/>
                <w:sz w:val="19"/>
                <w:szCs w:val="24"/>
              </w:rPr>
            </w:pPr>
          </w:p>
        </w:tc>
        <w:tc>
          <w:tcPr>
            <w:tcW w:w="155" w:type="pct"/>
            <w:shd w:val="clear" w:color="auto" w:fill="auto"/>
          </w:tcPr>
          <w:p w:rsidR="008B32B3" w:rsidRPr="007E7B8A" w:rsidRDefault="008B32B3" w:rsidP="007E6579">
            <w:pPr>
              <w:pStyle w:val="Header"/>
              <w:jc w:val="center"/>
              <w:rPr>
                <w:rFonts w:ascii="Cambria" w:hAnsi="Cambria"/>
                <w:b/>
                <w:noProof/>
                <w:sz w:val="19"/>
                <w:szCs w:val="24"/>
              </w:rPr>
            </w:pPr>
          </w:p>
        </w:tc>
        <w:tc>
          <w:tcPr>
            <w:tcW w:w="256" w:type="pct"/>
            <w:shd w:val="clear" w:color="auto" w:fill="auto"/>
          </w:tcPr>
          <w:p w:rsidR="008B32B3" w:rsidRPr="007E7B8A" w:rsidRDefault="008B32B3" w:rsidP="007E6579">
            <w:pPr>
              <w:pStyle w:val="Header"/>
              <w:jc w:val="center"/>
              <w:rPr>
                <w:rFonts w:ascii="Cambria" w:hAnsi="Cambria"/>
                <w:b/>
                <w:noProof/>
                <w:sz w:val="19"/>
                <w:szCs w:val="24"/>
              </w:rPr>
            </w:pPr>
          </w:p>
        </w:tc>
        <w:tc>
          <w:tcPr>
            <w:tcW w:w="204" w:type="pct"/>
            <w:shd w:val="clear" w:color="auto" w:fill="auto"/>
          </w:tcPr>
          <w:p w:rsidR="008B32B3" w:rsidRPr="007E7B8A" w:rsidRDefault="008B32B3" w:rsidP="007E6579">
            <w:pPr>
              <w:pStyle w:val="Header"/>
              <w:jc w:val="center"/>
              <w:rPr>
                <w:rFonts w:ascii="Cambria" w:hAnsi="Cambria"/>
                <w:b/>
                <w:noProof/>
                <w:sz w:val="19"/>
                <w:szCs w:val="24"/>
              </w:rPr>
            </w:pPr>
          </w:p>
        </w:tc>
        <w:tc>
          <w:tcPr>
            <w:tcW w:w="233" w:type="pct"/>
            <w:shd w:val="clear" w:color="auto" w:fill="auto"/>
          </w:tcPr>
          <w:p w:rsidR="008B32B3" w:rsidRPr="007E7B8A" w:rsidRDefault="008B32B3" w:rsidP="007E6579">
            <w:pPr>
              <w:pStyle w:val="Header"/>
              <w:jc w:val="center"/>
              <w:rPr>
                <w:rFonts w:ascii="Cambria" w:hAnsi="Cambria"/>
                <w:b/>
                <w:noProof/>
                <w:sz w:val="19"/>
                <w:szCs w:val="24"/>
              </w:rPr>
            </w:pPr>
          </w:p>
        </w:tc>
        <w:tc>
          <w:tcPr>
            <w:tcW w:w="157" w:type="pct"/>
            <w:shd w:val="clear" w:color="auto" w:fill="auto"/>
          </w:tcPr>
          <w:p w:rsidR="008B32B3" w:rsidRPr="007E7B8A" w:rsidRDefault="008B32B3" w:rsidP="007E6579">
            <w:pPr>
              <w:pStyle w:val="Header"/>
              <w:jc w:val="center"/>
              <w:rPr>
                <w:rFonts w:ascii="Cambria" w:hAnsi="Cambria"/>
                <w:b/>
                <w:noProof/>
                <w:sz w:val="19"/>
                <w:szCs w:val="24"/>
              </w:rPr>
            </w:pPr>
          </w:p>
        </w:tc>
        <w:tc>
          <w:tcPr>
            <w:tcW w:w="346" w:type="pct"/>
            <w:shd w:val="clear" w:color="auto" w:fill="auto"/>
          </w:tcPr>
          <w:p w:rsidR="008B32B3" w:rsidRPr="007E7B8A" w:rsidRDefault="008B32B3" w:rsidP="007E6579">
            <w:pPr>
              <w:pStyle w:val="Header"/>
              <w:jc w:val="center"/>
              <w:rPr>
                <w:rFonts w:ascii="Cambria" w:hAnsi="Cambria"/>
                <w:noProof/>
                <w:sz w:val="19"/>
                <w:szCs w:val="24"/>
              </w:rPr>
            </w:pPr>
          </w:p>
        </w:tc>
        <w:tc>
          <w:tcPr>
            <w:tcW w:w="330" w:type="pct"/>
            <w:shd w:val="clear" w:color="auto" w:fill="auto"/>
          </w:tcPr>
          <w:p w:rsidR="008B32B3" w:rsidRPr="007E7B8A" w:rsidRDefault="008B32B3" w:rsidP="007E6579">
            <w:pPr>
              <w:pStyle w:val="Header"/>
              <w:jc w:val="center"/>
              <w:rPr>
                <w:rFonts w:ascii="Cambria" w:hAnsi="Cambria"/>
                <w:noProof/>
                <w:sz w:val="19"/>
                <w:szCs w:val="24"/>
              </w:rPr>
            </w:pPr>
          </w:p>
        </w:tc>
      </w:tr>
      <w:tr w:rsidR="008B32B3" w:rsidRPr="007E7B8A" w:rsidTr="007E6579">
        <w:trPr>
          <w:cantSplit/>
          <w:jc w:val="center"/>
        </w:trPr>
        <w:tc>
          <w:tcPr>
            <w:tcW w:w="205" w:type="pct"/>
            <w:shd w:val="clear" w:color="auto" w:fill="auto"/>
          </w:tcPr>
          <w:p w:rsidR="008B32B3" w:rsidRPr="007E7B8A" w:rsidRDefault="008B32B3" w:rsidP="007E6579">
            <w:pPr>
              <w:pStyle w:val="Header"/>
              <w:tabs>
                <w:tab w:val="clear" w:pos="4677"/>
                <w:tab w:val="clear" w:pos="9355"/>
                <w:tab w:val="center" w:pos="4153"/>
                <w:tab w:val="right" w:pos="8306"/>
              </w:tabs>
              <w:jc w:val="center"/>
              <w:rPr>
                <w:rFonts w:ascii="Cambria" w:hAnsi="Cambria"/>
                <w:noProof/>
                <w:sz w:val="19"/>
                <w:szCs w:val="24"/>
              </w:rPr>
            </w:pPr>
            <w:r w:rsidRPr="007E7B8A">
              <w:rPr>
                <w:rFonts w:ascii="Cambria" w:hAnsi="Cambria"/>
                <w:noProof/>
                <w:sz w:val="19"/>
                <w:szCs w:val="24"/>
              </w:rPr>
              <w:t>19</w:t>
            </w:r>
            <w:r>
              <w:rPr>
                <w:rFonts w:ascii="Cambria" w:hAnsi="Cambria"/>
                <w:noProof/>
                <w:sz w:val="19"/>
                <w:szCs w:val="24"/>
              </w:rPr>
              <w:t xml:space="preserve">. </w:t>
            </w:r>
          </w:p>
        </w:tc>
        <w:tc>
          <w:tcPr>
            <w:tcW w:w="684"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Klienta risks</w:t>
            </w:r>
          </w:p>
        </w:tc>
        <w:tc>
          <w:tcPr>
            <w:tcW w:w="1764" w:type="pct"/>
            <w:shd w:val="clear" w:color="auto" w:fill="auto"/>
          </w:tcPr>
          <w:p w:rsidR="008B32B3" w:rsidRPr="007E7B8A" w:rsidRDefault="008B32B3" w:rsidP="007E6579">
            <w:pPr>
              <w:pStyle w:val="Header"/>
              <w:jc w:val="both"/>
              <w:rPr>
                <w:rFonts w:ascii="Cambria" w:hAnsi="Cambria"/>
                <w:noProof/>
                <w:sz w:val="19"/>
                <w:szCs w:val="24"/>
              </w:rPr>
            </w:pPr>
            <w:r w:rsidRPr="007E7B8A">
              <w:rPr>
                <w:rFonts w:ascii="Cambria" w:hAnsi="Cambria"/>
                <w:noProof/>
                <w:sz w:val="19"/>
                <w:szCs w:val="24"/>
              </w:rPr>
              <w:t>Klients ir institucionāls ieguldītājs, kura statusu ir pārbaudījusi Eiropas Ekonomikas zonas valsts valdības aģentūra, piemēram, valdības apstiprināta pensiju shēma</w:t>
            </w:r>
          </w:p>
        </w:tc>
        <w:tc>
          <w:tcPr>
            <w:tcW w:w="154" w:type="pct"/>
            <w:shd w:val="clear" w:color="auto" w:fill="auto"/>
          </w:tcPr>
          <w:p w:rsidR="008B32B3" w:rsidRPr="007E7B8A" w:rsidRDefault="008B32B3" w:rsidP="007E6579">
            <w:pPr>
              <w:pStyle w:val="Header"/>
              <w:jc w:val="center"/>
              <w:rPr>
                <w:rFonts w:ascii="Cambria" w:hAnsi="Cambria"/>
                <w:b/>
                <w:noProof/>
                <w:sz w:val="19"/>
                <w:szCs w:val="24"/>
              </w:rPr>
            </w:pPr>
          </w:p>
        </w:tc>
        <w:tc>
          <w:tcPr>
            <w:tcW w:w="154"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358" w:type="pct"/>
            <w:shd w:val="clear" w:color="auto" w:fill="auto"/>
          </w:tcPr>
          <w:p w:rsidR="008B32B3" w:rsidRPr="007E7B8A" w:rsidRDefault="008B32B3" w:rsidP="007E6579">
            <w:pPr>
              <w:pStyle w:val="Header"/>
              <w:jc w:val="center"/>
              <w:rPr>
                <w:rFonts w:ascii="Cambria" w:hAnsi="Cambria"/>
                <w:b/>
                <w:noProof/>
                <w:sz w:val="19"/>
                <w:szCs w:val="24"/>
              </w:rPr>
            </w:pPr>
          </w:p>
        </w:tc>
        <w:tc>
          <w:tcPr>
            <w:tcW w:w="155" w:type="pct"/>
            <w:shd w:val="clear" w:color="auto" w:fill="auto"/>
          </w:tcPr>
          <w:p w:rsidR="008B32B3" w:rsidRPr="007E7B8A" w:rsidRDefault="008B32B3" w:rsidP="007E6579">
            <w:pPr>
              <w:pStyle w:val="Header"/>
              <w:jc w:val="center"/>
              <w:rPr>
                <w:rFonts w:ascii="Cambria" w:hAnsi="Cambria"/>
                <w:b/>
                <w:noProof/>
                <w:sz w:val="19"/>
                <w:szCs w:val="24"/>
              </w:rPr>
            </w:pPr>
          </w:p>
        </w:tc>
        <w:tc>
          <w:tcPr>
            <w:tcW w:w="256"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04"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233" w:type="pct"/>
            <w:shd w:val="clear" w:color="auto" w:fill="auto"/>
          </w:tcPr>
          <w:p w:rsidR="008B32B3" w:rsidRPr="007E7B8A" w:rsidRDefault="008B32B3" w:rsidP="007E6579">
            <w:pPr>
              <w:pStyle w:val="Header"/>
              <w:jc w:val="center"/>
              <w:rPr>
                <w:rFonts w:ascii="Cambria" w:hAnsi="Cambria"/>
                <w:noProof/>
                <w:sz w:val="19"/>
                <w:szCs w:val="24"/>
              </w:rPr>
            </w:pPr>
            <w:r w:rsidRPr="007E7B8A">
              <w:rPr>
                <w:rFonts w:ascii="Cambria" w:hAnsi="Cambria"/>
                <w:noProof/>
                <w:sz w:val="19"/>
                <w:szCs w:val="24"/>
              </w:rPr>
              <w:t>X</w:t>
            </w:r>
          </w:p>
        </w:tc>
        <w:tc>
          <w:tcPr>
            <w:tcW w:w="157" w:type="pct"/>
            <w:shd w:val="clear" w:color="auto" w:fill="auto"/>
          </w:tcPr>
          <w:p w:rsidR="008B32B3" w:rsidRPr="007E7B8A" w:rsidRDefault="008B32B3" w:rsidP="007E6579">
            <w:pPr>
              <w:pStyle w:val="Header"/>
              <w:jc w:val="center"/>
              <w:rPr>
                <w:rFonts w:ascii="Cambria" w:hAnsi="Cambria"/>
                <w:b/>
                <w:noProof/>
                <w:sz w:val="19"/>
                <w:szCs w:val="24"/>
              </w:rPr>
            </w:pPr>
          </w:p>
        </w:tc>
        <w:tc>
          <w:tcPr>
            <w:tcW w:w="346" w:type="pct"/>
            <w:shd w:val="clear" w:color="auto" w:fill="auto"/>
          </w:tcPr>
          <w:p w:rsidR="008B32B3" w:rsidRPr="007E7B8A" w:rsidRDefault="008B32B3" w:rsidP="007E6579">
            <w:pPr>
              <w:pStyle w:val="Header"/>
              <w:jc w:val="center"/>
              <w:rPr>
                <w:rFonts w:ascii="Cambria" w:hAnsi="Cambria"/>
                <w:noProof/>
                <w:sz w:val="19"/>
                <w:szCs w:val="24"/>
              </w:rPr>
            </w:pPr>
          </w:p>
        </w:tc>
        <w:tc>
          <w:tcPr>
            <w:tcW w:w="330" w:type="pct"/>
            <w:shd w:val="clear" w:color="auto" w:fill="auto"/>
          </w:tcPr>
          <w:p w:rsidR="008B32B3" w:rsidRPr="007E7B8A" w:rsidRDefault="008B32B3" w:rsidP="007E6579">
            <w:pPr>
              <w:pStyle w:val="Header"/>
              <w:jc w:val="center"/>
              <w:rPr>
                <w:rFonts w:ascii="Cambria" w:hAnsi="Cambria"/>
                <w:noProof/>
                <w:sz w:val="19"/>
                <w:szCs w:val="24"/>
              </w:rPr>
            </w:pPr>
          </w:p>
        </w:tc>
      </w:tr>
    </w:tbl>
    <w:p w:rsidR="008B32B3" w:rsidRPr="003E2C4E" w:rsidRDefault="008B32B3" w:rsidP="008B32B3">
      <w:pPr>
        <w:pStyle w:val="Nobeigums"/>
        <w:spacing w:before="130" w:line="260" w:lineRule="exact"/>
        <w:ind w:firstLine="539"/>
        <w:rPr>
          <w:rFonts w:ascii="Cambria" w:hAnsi="Cambria"/>
          <w:noProof/>
          <w:sz w:val="19"/>
          <w:lang w:val="lv-LV"/>
        </w:rPr>
      </w:pPr>
    </w:p>
    <w:p w:rsidR="00507089" w:rsidRPr="008B32B3" w:rsidRDefault="00507089" w:rsidP="008B32B3">
      <w:bookmarkStart w:id="0" w:name="_GoBack"/>
      <w:bookmarkEnd w:id="0"/>
    </w:p>
    <w:sectPr w:rsidR="00507089" w:rsidRPr="008B32B3" w:rsidSect="007E7B8A">
      <w:headerReference w:type="default" r:id="rId7"/>
      <w:footerReference w:type="default" r:id="rId8"/>
      <w:footnotePr>
        <w:numRestart w:val="eachSect"/>
      </w:footnotePr>
      <w:pgSz w:w="16839" w:h="11907" w:orient="landscape"/>
      <w:pgMar w:top="1871" w:right="1191" w:bottom="1474" w:left="119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B3" w:rsidRDefault="008B32B3" w:rsidP="008B32B3">
      <w:pPr>
        <w:spacing w:after="0" w:line="240" w:lineRule="auto"/>
      </w:pPr>
      <w:r>
        <w:separator/>
      </w:r>
    </w:p>
  </w:endnote>
  <w:endnote w:type="continuationSeparator" w:id="0">
    <w:p w:rsidR="008B32B3" w:rsidRDefault="008B32B3" w:rsidP="008B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E" w:rsidRPr="003E2C4E" w:rsidRDefault="008B32B3" w:rsidP="003E2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B3" w:rsidRDefault="008B32B3" w:rsidP="008B32B3">
      <w:pPr>
        <w:spacing w:after="0" w:line="240" w:lineRule="auto"/>
      </w:pPr>
      <w:r>
        <w:separator/>
      </w:r>
    </w:p>
  </w:footnote>
  <w:footnote w:type="continuationSeparator" w:id="0">
    <w:p w:rsidR="008B32B3" w:rsidRDefault="008B32B3" w:rsidP="008B32B3">
      <w:pPr>
        <w:spacing w:after="0" w:line="240" w:lineRule="auto"/>
      </w:pPr>
      <w:r>
        <w:continuationSeparator/>
      </w:r>
    </w:p>
  </w:footnote>
  <w:footnote w:id="1">
    <w:p w:rsidR="008B32B3" w:rsidRPr="003E2C4E" w:rsidRDefault="008B32B3" w:rsidP="008B32B3">
      <w:pPr>
        <w:pStyle w:val="FootnoteText"/>
        <w:rPr>
          <w:rFonts w:ascii="Cambria" w:hAnsi="Cambria"/>
          <w:sz w:val="16"/>
          <w:szCs w:val="16"/>
        </w:rPr>
      </w:pPr>
      <w:r w:rsidRPr="003E2C4E">
        <w:rPr>
          <w:rStyle w:val="FootnoteReference"/>
          <w:rFonts w:ascii="Cambria" w:hAnsi="Cambria"/>
          <w:sz w:val="16"/>
          <w:szCs w:val="16"/>
        </w:rPr>
        <w:footnoteRef/>
      </w:r>
      <w:r w:rsidRPr="003E2C4E">
        <w:rPr>
          <w:rFonts w:ascii="Cambria" w:hAnsi="Cambria"/>
          <w:sz w:val="16"/>
          <w:szCs w:val="16"/>
        </w:rPr>
        <w:t xml:space="preserve"> Ciktāl tās sniedz dzīvības apdrošināšanas vai citus ar līdzekļu uzkrāšanu saistītus apdrošināšanas pakalpojumus.</w:t>
      </w:r>
    </w:p>
  </w:footnote>
  <w:footnote w:id="2">
    <w:p w:rsidR="008B32B3" w:rsidRPr="003E2C4E" w:rsidRDefault="008B32B3" w:rsidP="008B32B3">
      <w:pPr>
        <w:pStyle w:val="FootnoteText"/>
        <w:rPr>
          <w:rFonts w:ascii="Cambria" w:hAnsi="Cambria"/>
          <w:sz w:val="16"/>
          <w:szCs w:val="16"/>
        </w:rPr>
      </w:pPr>
      <w:r w:rsidRPr="003E2C4E">
        <w:rPr>
          <w:rStyle w:val="FootnoteReference"/>
          <w:rFonts w:ascii="Cambria" w:hAnsi="Cambria"/>
          <w:sz w:val="16"/>
          <w:szCs w:val="16"/>
        </w:rPr>
        <w:footnoteRef/>
      </w:r>
      <w:r w:rsidRPr="003E2C4E">
        <w:rPr>
          <w:rFonts w:ascii="Cambria" w:hAnsi="Cambria"/>
          <w:sz w:val="16"/>
          <w:szCs w:val="16"/>
        </w:rPr>
        <w:t xml:space="preserve"> Ciktāl tie sniedz dzīvības apdrošināšanas vai citus ar līdzekļu uzkrāšanu saistītus apdrošināšanas pakalpojumus.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4E" w:rsidRPr="003E2C4E" w:rsidRDefault="008B32B3" w:rsidP="003E2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B3"/>
    <w:rsid w:val="00507089"/>
    <w:rsid w:val="008B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B3"/>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B3"/>
    <w:pPr>
      <w:tabs>
        <w:tab w:val="center" w:pos="4677"/>
        <w:tab w:val="right" w:pos="9355"/>
      </w:tabs>
      <w:spacing w:after="0" w:line="240" w:lineRule="auto"/>
    </w:pPr>
  </w:style>
  <w:style w:type="character" w:customStyle="1" w:styleId="HeaderChar">
    <w:name w:val="Header Char"/>
    <w:basedOn w:val="DefaultParagraphFont"/>
    <w:link w:val="Header"/>
    <w:uiPriority w:val="99"/>
    <w:rsid w:val="008B32B3"/>
    <w:rPr>
      <w:rFonts w:ascii="Calibri" w:eastAsia="Calibri" w:hAnsi="Calibri" w:cs="Times New Roman"/>
      <w:lang w:val="ru-RU"/>
    </w:rPr>
  </w:style>
  <w:style w:type="paragraph" w:styleId="Footer">
    <w:name w:val="footer"/>
    <w:basedOn w:val="Normal"/>
    <w:link w:val="FooterChar"/>
    <w:uiPriority w:val="99"/>
    <w:unhideWhenUsed/>
    <w:rsid w:val="008B32B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B32B3"/>
    <w:rPr>
      <w:rFonts w:ascii="Calibri" w:eastAsia="Calibri" w:hAnsi="Calibri" w:cs="Times New Roman"/>
      <w:lang w:val="ru-RU"/>
    </w:rPr>
  </w:style>
  <w:style w:type="paragraph" w:customStyle="1" w:styleId="Nobeigums">
    <w:name w:val="Nobeigums"/>
    <w:basedOn w:val="Normal"/>
    <w:rsid w:val="008B32B3"/>
    <w:pPr>
      <w:spacing w:after="0" w:line="240" w:lineRule="auto"/>
    </w:pPr>
    <w:rPr>
      <w:rFonts w:ascii="Times New Roman" w:eastAsia="Times New Roman" w:hAnsi="Times New Roman"/>
      <w:sz w:val="24"/>
      <w:szCs w:val="20"/>
      <w:lang w:val="en-US"/>
    </w:rPr>
  </w:style>
  <w:style w:type="paragraph" w:styleId="FootnoteText">
    <w:name w:val="footnote text"/>
    <w:basedOn w:val="Normal"/>
    <w:link w:val="FootnoteTextChar"/>
    <w:uiPriority w:val="99"/>
    <w:semiHidden/>
    <w:unhideWhenUsed/>
    <w:rsid w:val="008B32B3"/>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8B32B3"/>
    <w:rPr>
      <w:rFonts w:ascii="Calibri" w:eastAsia="Calibri" w:hAnsi="Calibri" w:cs="Times New Roman"/>
      <w:sz w:val="20"/>
      <w:szCs w:val="20"/>
      <w:lang w:val="lv-LV"/>
    </w:rPr>
  </w:style>
  <w:style w:type="character" w:styleId="FootnoteReference">
    <w:name w:val="footnote reference"/>
    <w:uiPriority w:val="99"/>
    <w:semiHidden/>
    <w:unhideWhenUsed/>
    <w:rsid w:val="008B3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B3"/>
    <w:pPr>
      <w:spacing w:after="160" w:line="259"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2B3"/>
    <w:pPr>
      <w:tabs>
        <w:tab w:val="center" w:pos="4677"/>
        <w:tab w:val="right" w:pos="9355"/>
      </w:tabs>
      <w:spacing w:after="0" w:line="240" w:lineRule="auto"/>
    </w:pPr>
  </w:style>
  <w:style w:type="character" w:customStyle="1" w:styleId="HeaderChar">
    <w:name w:val="Header Char"/>
    <w:basedOn w:val="DefaultParagraphFont"/>
    <w:link w:val="Header"/>
    <w:uiPriority w:val="99"/>
    <w:rsid w:val="008B32B3"/>
    <w:rPr>
      <w:rFonts w:ascii="Calibri" w:eastAsia="Calibri" w:hAnsi="Calibri" w:cs="Times New Roman"/>
      <w:lang w:val="ru-RU"/>
    </w:rPr>
  </w:style>
  <w:style w:type="paragraph" w:styleId="Footer">
    <w:name w:val="footer"/>
    <w:basedOn w:val="Normal"/>
    <w:link w:val="FooterChar"/>
    <w:uiPriority w:val="99"/>
    <w:unhideWhenUsed/>
    <w:rsid w:val="008B32B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B32B3"/>
    <w:rPr>
      <w:rFonts w:ascii="Calibri" w:eastAsia="Calibri" w:hAnsi="Calibri" w:cs="Times New Roman"/>
      <w:lang w:val="ru-RU"/>
    </w:rPr>
  </w:style>
  <w:style w:type="paragraph" w:customStyle="1" w:styleId="Nobeigums">
    <w:name w:val="Nobeigums"/>
    <w:basedOn w:val="Normal"/>
    <w:rsid w:val="008B32B3"/>
    <w:pPr>
      <w:spacing w:after="0" w:line="240" w:lineRule="auto"/>
    </w:pPr>
    <w:rPr>
      <w:rFonts w:ascii="Times New Roman" w:eastAsia="Times New Roman" w:hAnsi="Times New Roman"/>
      <w:sz w:val="24"/>
      <w:szCs w:val="20"/>
      <w:lang w:val="en-US"/>
    </w:rPr>
  </w:style>
  <w:style w:type="paragraph" w:styleId="FootnoteText">
    <w:name w:val="footnote text"/>
    <w:basedOn w:val="Normal"/>
    <w:link w:val="FootnoteTextChar"/>
    <w:uiPriority w:val="99"/>
    <w:semiHidden/>
    <w:unhideWhenUsed/>
    <w:rsid w:val="008B32B3"/>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8B32B3"/>
    <w:rPr>
      <w:rFonts w:ascii="Calibri" w:eastAsia="Calibri" w:hAnsi="Calibri" w:cs="Times New Roman"/>
      <w:sz w:val="20"/>
      <w:szCs w:val="20"/>
      <w:lang w:val="lv-LV"/>
    </w:rPr>
  </w:style>
  <w:style w:type="character" w:styleId="FootnoteReference">
    <w:name w:val="footnote reference"/>
    <w:uiPriority w:val="99"/>
    <w:semiHidden/>
    <w:unhideWhenUsed/>
    <w:rsid w:val="008B3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2019-08-30T07:27:00Z</dcterms:created>
  <dcterms:modified xsi:type="dcterms:W3CDTF">2019-08-30T07:28:00Z</dcterms:modified>
</cp:coreProperties>
</file>