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18" w:rsidRDefault="00BB4918" w:rsidP="00BB49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5. pielikums</w:t>
      </w:r>
    </w:p>
    <w:p w:rsidR="00BB4918" w:rsidRDefault="00BB4918" w:rsidP="00BB491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un kapitāla tirgus komisijas</w:t>
      </w:r>
    </w:p>
    <w:p w:rsidR="00BB4918" w:rsidRDefault="00BB4918" w:rsidP="00BB491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gada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septembra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normatīvajiem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noteikumiem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155</w:t>
      </w:r>
    </w:p>
    <w:p w:rsidR="00BB4918" w:rsidRDefault="00BB4918" w:rsidP="00BB491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918" w:rsidRDefault="00BB4918" w:rsidP="00BB4918">
      <w:pPr>
        <w:jc w:val="center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Informācija, kas iekļaujama komercdarbības plānā</w:t>
      </w:r>
    </w:p>
    <w:p w:rsidR="00BB4918" w:rsidRDefault="00BB4918" w:rsidP="00BB4918">
      <w:pPr>
        <w:spacing w:after="0" w:line="240" w:lineRule="auto"/>
        <w:rPr>
          <w:rFonts w:ascii="Times New Roman" w:hAnsi="Times New Roman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068"/>
        <w:gridCol w:w="3258"/>
      </w:tblGrid>
      <w:tr w:rsidR="00BB4918" w:rsidTr="00BB4918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18" w:rsidRDefault="00BB4918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Nr.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18" w:rsidRDefault="00BB4918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Komercdarbības plānā iekļaujamā informācija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18" w:rsidRDefault="00BB4918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Informācijas atrašanās vieta komercdarbības plānā</w:t>
            </w:r>
          </w:p>
        </w:tc>
      </w:tr>
      <w:tr w:rsidR="00BB4918" w:rsidRPr="00BB4918" w:rsidTr="00BB4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18" w:rsidRDefault="00BB4918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18" w:rsidRDefault="00BB4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Darbības stratēģija, mārketinga plāns, kas ietver analīzi par komercsabiedrības konkurētspēju attiecīgajā tirgus segmentā un aprakstu par iesnieguma iesniedzēja pakalpojumu izmantotājiem (klientiem), mārketinga materiāliem un izplatīšanas kanāliem.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18" w:rsidRDefault="00BB4918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BB4918" w:rsidRPr="00BB4918" w:rsidTr="00BB4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18" w:rsidRDefault="00BB4918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2.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18" w:rsidRDefault="00BB4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Auditēti* gada pārskati par pēdējiem trim gadiem, ja tie ir pieejami, vai finanšu stāvokļa kopsavilkums, ja gada pārskats nav sagatavots.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18" w:rsidRDefault="00BB4918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BB4918" w:rsidRPr="00BB4918" w:rsidTr="00BB4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18" w:rsidRDefault="00BB4918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3.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18" w:rsidRDefault="00BB4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Provizorisks budžeta aprēķins par pirmajiem trīs finanšu gadiem, kas liecina, ka iesnieguma iesniedzējs spēj lietot piemērotas un samērīgas sistēmas, resursus un procedūras, lai stabili darbotos; šādā aprēķinā iekļauj:</w:t>
            </w:r>
          </w:p>
          <w:p w:rsidR="00BB4918" w:rsidRDefault="00BB4918" w:rsidP="00CC77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5" w:hanging="284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peļņas vai zaudējumu aprēķina un bilances prognozi, tostarp darbības attīstības scenārijus (standarta, optimistisks un pesimistisks scenārijs), to pamatpieņēmumus, </w:t>
            </w:r>
            <w:proofErr w:type="gramStart"/>
            <w:r>
              <w:rPr>
                <w:rFonts w:ascii="Times New Roman" w:hAnsi="Times New Roman"/>
                <w:lang w:val="lv-LV"/>
              </w:rPr>
              <w:t>tādus kā darījumu skaits un apjoms</w:t>
            </w:r>
            <w:proofErr w:type="gramEnd"/>
            <w:r>
              <w:rPr>
                <w:rFonts w:ascii="Times New Roman" w:hAnsi="Times New Roman"/>
                <w:lang w:val="lv-LV"/>
              </w:rPr>
              <w:t>, klientu skaits, cenu politika, darījuma vidējā summa, paredzamais rentabilitātes sliekšņa palielinājums;</w:t>
            </w:r>
          </w:p>
          <w:p w:rsidR="00BB4918" w:rsidRDefault="00BB4918" w:rsidP="00CC77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5" w:hanging="284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ienākumu un izdevumu, finanšu parādu un pamatlīdzekļu galveno pozīciju skaidrojumu;</w:t>
            </w:r>
          </w:p>
          <w:p w:rsidR="00BB4918" w:rsidRDefault="00BB4918" w:rsidP="00CC77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5" w:hanging="284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prognozēto ienākumu/izdevumu naudas plūsmu ar detalizētu pozīciju atšifrējumu nākamajiem trim finanšu gadiem.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18" w:rsidRDefault="00BB4918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BB4918" w:rsidRPr="00BB4918" w:rsidTr="00BB4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18" w:rsidRDefault="00BB4918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4.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18" w:rsidRDefault="00BB4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Informācija par pašu kapitālu, tostarp sākotnējā kapitāla summa un tā sastāva detalizēts iedalījums atbilstoši Maksājumu pakalpojumu un elektroniskās naudas likuma 1. panta 39. punktā noteiktajam.**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18" w:rsidRDefault="00BB4918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BB4918" w:rsidRPr="00BB4918" w:rsidTr="00BB4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18" w:rsidRDefault="00BB4918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5.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18" w:rsidRDefault="00BB4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Informācija par minimālajām pašu kapitāla prasībām un to aprēķinu saskaņā ar Maksājumu pakalpojumu un elektroniskās naudas likuma 35. pantu, iekļaujot prognozēto pašu kapitāla iedalījumu par nākamajiem trim gadiem.*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18" w:rsidRDefault="00BB4918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BB4918" w:rsidRDefault="00BB4918" w:rsidP="00BB4918">
      <w:pPr>
        <w:spacing w:before="120"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i/>
          <w:lang w:val="lv-LV"/>
        </w:rPr>
        <w:t>* Ja saskaņā ar normatīvajiem aktiem gada pārskati nav jāauditē, iesniedz neauditētus pārskatus.</w:t>
      </w:r>
    </w:p>
    <w:p w:rsidR="006D4927" w:rsidRPr="00BB4918" w:rsidRDefault="00BB4918" w:rsidP="00BB4918">
      <w:pPr>
        <w:jc w:val="both"/>
        <w:rPr>
          <w:rFonts w:ascii="Times New Roman" w:hAnsi="Times New Roman"/>
          <w:i/>
          <w:lang w:val="lv-LV"/>
        </w:rPr>
      </w:pPr>
      <w:r>
        <w:rPr>
          <w:rFonts w:ascii="Times New Roman" w:hAnsi="Times New Roman"/>
          <w:i/>
          <w:lang w:val="lv-LV"/>
        </w:rPr>
        <w:t xml:space="preserve">** </w:t>
      </w:r>
      <w:r>
        <w:rPr>
          <w:rFonts w:ascii="Times New Roman" w:hAnsi="Times New Roman"/>
          <w:i/>
          <w:u w:val="single"/>
          <w:lang w:val="lv-LV"/>
        </w:rPr>
        <w:t>Nav</w:t>
      </w:r>
      <w:r>
        <w:rPr>
          <w:rFonts w:ascii="Times New Roman" w:hAnsi="Times New Roman"/>
          <w:i/>
          <w:lang w:val="lv-LV"/>
        </w:rPr>
        <w:t xml:space="preserve"> jāsniedz, ja iesnieguma iesniedzējs plāno sniegt tikai maksājuma ierosināšanas pakalpojumu vai plāno saņemt tikai reģistrētas iestādes atļauju.</w:t>
      </w:r>
      <w:bookmarkStart w:id="0" w:name="_GoBack"/>
      <w:bookmarkEnd w:id="0"/>
    </w:p>
    <w:sectPr w:rsidR="006D4927" w:rsidRPr="00BB49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B07"/>
    <w:multiLevelType w:val="hybridMultilevel"/>
    <w:tmpl w:val="7EF04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18"/>
    <w:rsid w:val="006D4927"/>
    <w:rsid w:val="00B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2018-10-04T08:38:00Z</dcterms:created>
  <dcterms:modified xsi:type="dcterms:W3CDTF">2018-10-04T08:39:00Z</dcterms:modified>
</cp:coreProperties>
</file>