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0E" w:rsidRDefault="00EB3F0E" w:rsidP="00EB3F0E">
      <w:pPr>
        <w:pStyle w:val="naisf"/>
        <w:spacing w:before="130" w:after="0" w:line="260" w:lineRule="exact"/>
        <w:ind w:firstLine="539"/>
        <w:jc w:val="right"/>
        <w:rPr>
          <w:rFonts w:ascii="Cambria" w:hAnsi="Cambria"/>
          <w:sz w:val="19"/>
          <w:szCs w:val="19"/>
        </w:rPr>
      </w:pPr>
      <w:r w:rsidRPr="005A58B6">
        <w:rPr>
          <w:rFonts w:ascii="Cambria" w:hAnsi="Cambria"/>
          <w:sz w:val="19"/>
          <w:szCs w:val="19"/>
        </w:rPr>
        <w:t>2.pielikums</w:t>
      </w:r>
      <w:r>
        <w:rPr>
          <w:rFonts w:ascii="Cambria" w:hAnsi="Cambria"/>
          <w:sz w:val="19"/>
          <w:szCs w:val="19"/>
        </w:rPr>
        <w:br/>
      </w:r>
      <w:r w:rsidRPr="005A58B6">
        <w:rPr>
          <w:rFonts w:ascii="Cambria" w:hAnsi="Cambria"/>
          <w:sz w:val="19"/>
          <w:szCs w:val="19"/>
        </w:rPr>
        <w:t>Sabiedrisko pakalpojumu regulēšanas komisijas</w:t>
      </w:r>
      <w:r>
        <w:rPr>
          <w:rFonts w:ascii="Cambria" w:hAnsi="Cambria"/>
          <w:sz w:val="19"/>
          <w:szCs w:val="19"/>
        </w:rPr>
        <w:br/>
      </w:r>
      <w:r w:rsidRPr="005A58B6">
        <w:rPr>
          <w:rFonts w:ascii="Cambria" w:hAnsi="Cambria"/>
          <w:sz w:val="19"/>
          <w:szCs w:val="19"/>
        </w:rPr>
        <w:t>2018.gada 7.jūnija lēmumam Nr.1/11</w:t>
      </w:r>
    </w:p>
    <w:p w:rsidR="00425A7A" w:rsidRPr="00425A7A" w:rsidRDefault="00425A7A" w:rsidP="00425A7A">
      <w:pPr>
        <w:pStyle w:val="naisf"/>
        <w:spacing w:before="130" w:after="0" w:line="260" w:lineRule="exact"/>
        <w:ind w:firstLine="539"/>
        <w:jc w:val="left"/>
        <w:rPr>
          <w:rFonts w:ascii="Cambria" w:hAnsi="Cambria"/>
          <w:bCs/>
          <w:i/>
          <w:sz w:val="20"/>
          <w:szCs w:val="20"/>
        </w:rPr>
      </w:pPr>
      <w:r w:rsidRPr="00425A7A">
        <w:rPr>
          <w:i/>
          <w:sz w:val="20"/>
          <w:szCs w:val="20"/>
        </w:rPr>
        <w:t>(Pielikums grozīts ar SPRK padomes 30.01.2020. lēmumu Nr.</w:t>
      </w:r>
      <w:r w:rsidR="00B03482">
        <w:rPr>
          <w:i/>
          <w:sz w:val="20"/>
          <w:szCs w:val="20"/>
        </w:rPr>
        <w:t xml:space="preserve"> </w:t>
      </w:r>
      <w:bookmarkStart w:id="0" w:name="_GoBack"/>
      <w:bookmarkEnd w:id="0"/>
      <w:r w:rsidRPr="00425A7A">
        <w:rPr>
          <w:i/>
          <w:sz w:val="20"/>
          <w:szCs w:val="20"/>
        </w:rPr>
        <w:t>1/2)</w:t>
      </w:r>
    </w:p>
    <w:p w:rsidR="00EB3F0E" w:rsidRPr="00630A17" w:rsidRDefault="00EB3F0E" w:rsidP="00EB3F0E">
      <w:pPr>
        <w:pStyle w:val="naisnod"/>
        <w:spacing w:before="360" w:after="0"/>
        <w:ind w:right="567"/>
        <w:rPr>
          <w:rFonts w:ascii="Cambria" w:hAnsi="Cambria"/>
          <w:sz w:val="22"/>
          <w:szCs w:val="19"/>
        </w:rPr>
      </w:pPr>
      <w:r w:rsidRPr="00630A17">
        <w:rPr>
          <w:rFonts w:ascii="Cambria" w:hAnsi="Cambria"/>
          <w:sz w:val="22"/>
          <w:szCs w:val="19"/>
        </w:rPr>
        <w:t>Deklarācija par atbilstību</w:t>
      </w:r>
      <w:r>
        <w:rPr>
          <w:rFonts w:ascii="Cambria" w:hAnsi="Cambria"/>
          <w:sz w:val="22"/>
          <w:szCs w:val="19"/>
        </w:rPr>
        <w:br/>
      </w:r>
      <w:r w:rsidRPr="00630A17">
        <w:rPr>
          <w:rFonts w:ascii="Cambria" w:hAnsi="Cambria"/>
          <w:sz w:val="22"/>
          <w:szCs w:val="19"/>
        </w:rPr>
        <w:t xml:space="preserve">izsolei radiofrekvenču spektra joslas __________________ lietošanas tiesību piešķiršanai </w:t>
      </w:r>
    </w:p>
    <w:p w:rsidR="00EB3F0E" w:rsidRPr="005A58B6" w:rsidRDefault="00EB3F0E" w:rsidP="00EB3F0E">
      <w:pPr>
        <w:pStyle w:val="naisnod"/>
        <w:spacing w:before="130" w:after="0" w:line="260" w:lineRule="exact"/>
        <w:ind w:firstLine="539"/>
        <w:rPr>
          <w:rFonts w:ascii="Cambria" w:hAnsi="Cambria"/>
          <w:sz w:val="19"/>
          <w:szCs w:val="19"/>
        </w:rPr>
      </w:pPr>
    </w:p>
    <w:p w:rsidR="00EB3F0E" w:rsidRPr="005A58B6" w:rsidRDefault="00EB3F0E" w:rsidP="00EB3F0E">
      <w:pPr>
        <w:pStyle w:val="naiskr"/>
        <w:spacing w:before="130" w:after="0" w:line="260" w:lineRule="exact"/>
        <w:jc w:val="both"/>
        <w:rPr>
          <w:rFonts w:ascii="Cambria" w:hAnsi="Cambria"/>
          <w:sz w:val="19"/>
          <w:szCs w:val="19"/>
        </w:rPr>
      </w:pPr>
      <w:r w:rsidRPr="005A58B6">
        <w:rPr>
          <w:rFonts w:ascii="Cambria" w:hAnsi="Cambria"/>
          <w:sz w:val="19"/>
          <w:szCs w:val="19"/>
        </w:rPr>
        <w:t>Parakstot šo deklarāciju, apliecinu, ka šajā deklarācijā sniegtā informācija ir patiesa.</w:t>
      </w:r>
    </w:p>
    <w:p w:rsidR="00EB3F0E" w:rsidRPr="005A58B6" w:rsidRDefault="00EB3F0E" w:rsidP="00EB3F0E">
      <w:pPr>
        <w:pStyle w:val="naisk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EB3F0E" w:rsidRPr="00A421B6" w:rsidTr="009D6C45">
        <w:tc>
          <w:tcPr>
            <w:tcW w:w="9581" w:type="dxa"/>
            <w:tcBorders>
              <w:bottom w:val="single" w:sz="4" w:space="0" w:color="auto"/>
            </w:tcBorders>
            <w:shd w:val="clear" w:color="auto" w:fill="auto"/>
          </w:tcPr>
          <w:p w:rsidR="00EB3F0E" w:rsidRPr="00A421B6" w:rsidRDefault="00EB3F0E" w:rsidP="009D6C45">
            <w:pPr>
              <w:pStyle w:val="naiskr"/>
              <w:spacing w:before="0" w:after="0"/>
              <w:jc w:val="both"/>
              <w:rPr>
                <w:rFonts w:ascii="Cambria" w:hAnsi="Cambria"/>
                <w:sz w:val="19"/>
                <w:szCs w:val="19"/>
              </w:rPr>
            </w:pPr>
          </w:p>
        </w:tc>
      </w:tr>
      <w:tr w:rsidR="00EB3F0E" w:rsidRPr="00A421B6" w:rsidTr="009D6C45">
        <w:tc>
          <w:tcPr>
            <w:tcW w:w="9581" w:type="dxa"/>
            <w:tcBorders>
              <w:top w:val="single" w:sz="4" w:space="0" w:color="auto"/>
            </w:tcBorders>
            <w:shd w:val="clear" w:color="auto" w:fill="auto"/>
          </w:tcPr>
          <w:p w:rsidR="00EB3F0E" w:rsidRPr="00A421B6" w:rsidRDefault="00EB3F0E" w:rsidP="009D6C45">
            <w:pPr>
              <w:pStyle w:val="naiskr"/>
              <w:spacing w:before="0" w:after="0"/>
              <w:jc w:val="center"/>
              <w:rPr>
                <w:rFonts w:ascii="Cambria" w:hAnsi="Cambria"/>
                <w:sz w:val="17"/>
                <w:szCs w:val="17"/>
              </w:rPr>
            </w:pPr>
            <w:r w:rsidRPr="00A421B6">
              <w:rPr>
                <w:rFonts w:ascii="Cambria" w:hAnsi="Cambria"/>
                <w:sz w:val="17"/>
                <w:szCs w:val="17"/>
              </w:rPr>
              <w:t>(komersanta nosaukums)</w:t>
            </w:r>
          </w:p>
        </w:tc>
      </w:tr>
      <w:tr w:rsidR="00EB3F0E" w:rsidRPr="00A421B6" w:rsidTr="009D6C45">
        <w:tc>
          <w:tcPr>
            <w:tcW w:w="9581" w:type="dxa"/>
            <w:tcBorders>
              <w:bottom w:val="single" w:sz="4" w:space="0" w:color="auto"/>
            </w:tcBorders>
            <w:shd w:val="clear" w:color="auto" w:fill="auto"/>
          </w:tcPr>
          <w:p w:rsidR="00EB3F0E" w:rsidRPr="00A421B6" w:rsidRDefault="00EB3F0E" w:rsidP="009D6C45">
            <w:pPr>
              <w:pStyle w:val="naiskr"/>
              <w:spacing w:before="0" w:after="0"/>
              <w:jc w:val="both"/>
              <w:rPr>
                <w:rFonts w:ascii="Cambria" w:hAnsi="Cambria"/>
                <w:sz w:val="19"/>
                <w:szCs w:val="19"/>
              </w:rPr>
            </w:pPr>
          </w:p>
        </w:tc>
      </w:tr>
      <w:tr w:rsidR="00EB3F0E" w:rsidRPr="00A421B6" w:rsidTr="009D6C45">
        <w:tc>
          <w:tcPr>
            <w:tcW w:w="9581" w:type="dxa"/>
            <w:tcBorders>
              <w:top w:val="single" w:sz="4" w:space="0" w:color="auto"/>
            </w:tcBorders>
            <w:shd w:val="clear" w:color="auto" w:fill="auto"/>
          </w:tcPr>
          <w:p w:rsidR="00EB3F0E" w:rsidRPr="00A421B6" w:rsidRDefault="00EB3F0E" w:rsidP="009D6C45">
            <w:pPr>
              <w:pStyle w:val="naiskr"/>
              <w:spacing w:before="0" w:after="0"/>
              <w:jc w:val="center"/>
              <w:rPr>
                <w:rFonts w:ascii="Cambria" w:hAnsi="Cambria"/>
                <w:sz w:val="17"/>
                <w:szCs w:val="17"/>
              </w:rPr>
            </w:pPr>
            <w:r w:rsidRPr="00A421B6">
              <w:rPr>
                <w:rFonts w:ascii="Cambria" w:hAnsi="Cambria"/>
                <w:sz w:val="17"/>
                <w:szCs w:val="17"/>
              </w:rPr>
              <w:t xml:space="preserve">(reģistrācijas numurs) </w:t>
            </w:r>
          </w:p>
        </w:tc>
      </w:tr>
    </w:tbl>
    <w:p w:rsidR="00EB3F0E" w:rsidRDefault="00EB3F0E" w:rsidP="00EB3F0E">
      <w:pPr>
        <w:pStyle w:val="naiskr"/>
        <w:spacing w:before="130" w:after="0" w:line="260" w:lineRule="exact"/>
        <w:jc w:val="both"/>
        <w:rPr>
          <w:rFonts w:ascii="Cambria" w:hAnsi="Cambria"/>
          <w:sz w:val="19"/>
          <w:szCs w:val="19"/>
        </w:rPr>
      </w:pPr>
    </w:p>
    <w:p w:rsidR="00EB3F0E" w:rsidRPr="005A58B6" w:rsidRDefault="00EB3F0E" w:rsidP="00EB3F0E">
      <w:pPr>
        <w:pStyle w:val="naiskr"/>
        <w:spacing w:before="130" w:after="0" w:line="260" w:lineRule="exact"/>
        <w:jc w:val="both"/>
        <w:rPr>
          <w:rFonts w:ascii="Cambria" w:hAnsi="Cambria"/>
          <w:sz w:val="19"/>
          <w:szCs w:val="19"/>
        </w:rPr>
      </w:pPr>
      <w:r w:rsidRPr="005A58B6">
        <w:rPr>
          <w:rFonts w:ascii="Cambria" w:hAnsi="Cambria"/>
          <w:sz w:val="19"/>
          <w:szCs w:val="19"/>
        </w:rPr>
        <w:t xml:space="preserve"> (turpmāk – komersants), kuru pārstāv ________________________________________ (turpmāk – pārstāvis). Pārstāvis paziņo: pārstāvis, kurš ir norādīts reģistrācijas iesniegumā, ir iepazinies, saprot un apņemas pienācīgi un laikus pildīt noteikumus un izsludināšanas lēmumā noteikto, saskaņā ar kuriem notiek izsole, un piešķiramo radiofrekvenču spektra lietošanas tiesību specifiskos nosacījumus, kā arī tiesību aktus, kas reglamentē šo izsoli.</w:t>
      </w:r>
    </w:p>
    <w:p w:rsidR="00EB3F0E" w:rsidRPr="005A58B6" w:rsidRDefault="00EB3F0E" w:rsidP="00EB3F0E">
      <w:pPr>
        <w:pStyle w:val="naisf"/>
        <w:spacing w:before="130" w:after="0" w:line="260" w:lineRule="exact"/>
        <w:ind w:firstLine="0"/>
        <w:rPr>
          <w:rFonts w:ascii="Cambria" w:hAnsi="Cambria"/>
          <w:sz w:val="19"/>
          <w:szCs w:val="19"/>
        </w:rPr>
      </w:pPr>
    </w:p>
    <w:p w:rsidR="00EB3F0E" w:rsidRPr="005A58B6" w:rsidRDefault="00EB3F0E" w:rsidP="00EB3F0E">
      <w:pPr>
        <w:pStyle w:val="naisf"/>
        <w:spacing w:before="130" w:after="0" w:line="260" w:lineRule="exact"/>
        <w:ind w:firstLine="0"/>
        <w:rPr>
          <w:rFonts w:ascii="Cambria" w:hAnsi="Cambria"/>
          <w:sz w:val="19"/>
          <w:szCs w:val="19"/>
        </w:rPr>
      </w:pPr>
      <w:r w:rsidRPr="005A58B6">
        <w:rPr>
          <w:rFonts w:ascii="Cambria" w:hAnsi="Cambria"/>
          <w:sz w:val="19"/>
          <w:szCs w:val="19"/>
        </w:rPr>
        <w:t> Paziņoju un apņemos ievērot šādus nosacījumus:</w:t>
      </w:r>
    </w:p>
    <w:p w:rsidR="00EB3F0E" w:rsidRPr="005A58B6" w:rsidRDefault="00EB3F0E" w:rsidP="00EB3F0E">
      <w:pPr>
        <w:pStyle w:val="naisf"/>
        <w:spacing w:before="130" w:after="0" w:line="260" w:lineRule="exact"/>
        <w:ind w:firstLine="0"/>
        <w:rPr>
          <w:rFonts w:ascii="Cambria" w:hAnsi="Cambria"/>
          <w:sz w:val="19"/>
          <w:szCs w:val="19"/>
        </w:rPr>
      </w:pPr>
    </w:p>
    <w:p w:rsidR="00EB3F0E" w:rsidRPr="005A58B6" w:rsidRDefault="00EB3F0E" w:rsidP="00EB3F0E">
      <w:pPr>
        <w:pStyle w:val="naisf"/>
        <w:spacing w:before="130" w:after="0" w:line="260" w:lineRule="exact"/>
        <w:ind w:firstLine="0"/>
        <w:rPr>
          <w:rFonts w:ascii="Cambria" w:hAnsi="Cambria"/>
          <w:sz w:val="19"/>
          <w:szCs w:val="19"/>
        </w:rPr>
      </w:pPr>
      <w:r w:rsidRPr="005A58B6">
        <w:rPr>
          <w:rFonts w:ascii="Cambria" w:hAnsi="Cambria"/>
          <w:sz w:val="19"/>
          <w:szCs w:val="19"/>
        </w:rPr>
        <w:t>(a)</w:t>
      </w:r>
      <w:r>
        <w:rPr>
          <w:rFonts w:ascii="Cambria" w:hAnsi="Cambria"/>
          <w:sz w:val="19"/>
          <w:szCs w:val="19"/>
        </w:rPr>
        <w:t xml:space="preserve"> </w:t>
      </w:r>
      <w:r w:rsidRPr="005A58B6">
        <w:rPr>
          <w:rFonts w:ascii="Cambria" w:hAnsi="Cambria"/>
          <w:sz w:val="19"/>
          <w:szCs w:val="19"/>
        </w:rPr>
        <w:t>komersants ir tiesīgs piedalīties izsolē, un tam ir visas nepieciešamās atļaujas un pilnvarojumi;</w:t>
      </w:r>
    </w:p>
    <w:p w:rsidR="00EB3F0E" w:rsidRPr="005A58B6" w:rsidRDefault="00EB3F0E" w:rsidP="00EB3F0E">
      <w:pPr>
        <w:pStyle w:val="naisf"/>
        <w:spacing w:before="130" w:after="0" w:line="260" w:lineRule="exact"/>
        <w:ind w:firstLine="0"/>
        <w:rPr>
          <w:rFonts w:ascii="Cambria" w:hAnsi="Cambria"/>
          <w:sz w:val="19"/>
          <w:szCs w:val="19"/>
        </w:rPr>
      </w:pPr>
    </w:p>
    <w:p w:rsidR="00EB3F0E" w:rsidRPr="005A58B6" w:rsidRDefault="00EB3F0E" w:rsidP="00EB3F0E">
      <w:pPr>
        <w:pStyle w:val="naiskr"/>
        <w:spacing w:before="130" w:after="0" w:line="260" w:lineRule="exact"/>
        <w:jc w:val="both"/>
        <w:rPr>
          <w:rFonts w:ascii="Cambria" w:hAnsi="Cambria"/>
          <w:sz w:val="19"/>
          <w:szCs w:val="19"/>
        </w:rPr>
      </w:pPr>
      <w:r w:rsidRPr="005A58B6">
        <w:rPr>
          <w:rFonts w:ascii="Cambria" w:hAnsi="Cambria"/>
          <w:sz w:val="19"/>
          <w:szCs w:val="19"/>
        </w:rPr>
        <w:t xml:space="preserve">(b) komersants neatrodas likvidācijas stadijā vai tam nav pasludināts maksātnespējas process, vai arī nav ierosināts tiesiskās aizsardzības process, kā arī uz deklarācijas iesniegšanas brīdi tam nav nodokļu parādu, tajā skaitā valsts sociālās apdrošināšanas obligāto iemaksu parādu, kas kopsummā pārsniedz 150 </w:t>
      </w:r>
      <w:proofErr w:type="spellStart"/>
      <w:r w:rsidRPr="005A58B6">
        <w:rPr>
          <w:rFonts w:ascii="Cambria" w:hAnsi="Cambria"/>
          <w:i/>
          <w:sz w:val="19"/>
          <w:szCs w:val="19"/>
        </w:rPr>
        <w:t>euro</w:t>
      </w:r>
      <w:proofErr w:type="spellEnd"/>
      <w:r w:rsidRPr="005A58B6">
        <w:rPr>
          <w:rFonts w:ascii="Cambria" w:hAnsi="Cambria"/>
          <w:sz w:val="19"/>
          <w:szCs w:val="19"/>
        </w:rPr>
        <w:t xml:space="preserve">, ievērojot pēdējā datu aktualizācijas datumā Valsts ieņēmumu dienesta publiskajā nodokļu parādnieku datubāzē ievietoto informāciju (ārvalstīs reģistrētam komersantam – attiecīgajā ārvalstī nav nodokļu parāda, kas kopsummā pārsniedz 150 </w:t>
      </w:r>
      <w:proofErr w:type="spellStart"/>
      <w:r w:rsidRPr="005A58B6">
        <w:rPr>
          <w:rFonts w:ascii="Cambria" w:hAnsi="Cambria"/>
          <w:i/>
          <w:sz w:val="19"/>
          <w:szCs w:val="19"/>
        </w:rPr>
        <w:t>euro</w:t>
      </w:r>
      <w:proofErr w:type="spellEnd"/>
      <w:r w:rsidRPr="005A58B6">
        <w:rPr>
          <w:rFonts w:ascii="Cambria" w:hAnsi="Cambria"/>
          <w:sz w:val="19"/>
          <w:szCs w:val="19"/>
        </w:rPr>
        <w:t xml:space="preserve"> vai šīs summas ekvivalentu citā valūtā);</w:t>
      </w:r>
    </w:p>
    <w:p w:rsidR="00EB3F0E" w:rsidRPr="005A58B6" w:rsidRDefault="00EB3F0E" w:rsidP="00EB3F0E">
      <w:pPr>
        <w:pStyle w:val="naiskr"/>
        <w:spacing w:before="130" w:after="0" w:line="260" w:lineRule="exact"/>
        <w:jc w:val="both"/>
        <w:rPr>
          <w:rFonts w:ascii="Cambria" w:hAnsi="Cambria"/>
          <w:sz w:val="19"/>
          <w:szCs w:val="19"/>
        </w:rPr>
      </w:pPr>
    </w:p>
    <w:p w:rsidR="00EB3F0E" w:rsidRPr="005A58B6" w:rsidRDefault="00EB3F0E" w:rsidP="00EB3F0E">
      <w:pPr>
        <w:pStyle w:val="naiskr"/>
        <w:spacing w:before="130" w:after="0" w:line="260" w:lineRule="exact"/>
        <w:jc w:val="both"/>
        <w:rPr>
          <w:rFonts w:ascii="Cambria" w:hAnsi="Cambria"/>
          <w:sz w:val="19"/>
          <w:szCs w:val="19"/>
        </w:rPr>
      </w:pPr>
      <w:r w:rsidRPr="005A58B6">
        <w:rPr>
          <w:rFonts w:ascii="Cambria" w:hAnsi="Cambria"/>
          <w:sz w:val="19"/>
          <w:szCs w:val="19"/>
        </w:rPr>
        <w:t>(c) visa komersanta iesniegtā informācija reģistrācijas iesniegumā un tā pielikumos vai jebkura cita informācija, kas iesniegta izsoles komisijai, ir precīza un patiesa, un jebkurš paustais viedoklis ir patiess un godīgs; ja sniegtā informācija mainīsies vai tiks konstatēts, ka sniegtā informācija ir neprecīza vai nepilnīga, par to nekavējoties paziņos izsoles komisijai;</w:t>
      </w:r>
    </w:p>
    <w:p w:rsidR="00EB3F0E" w:rsidRPr="005A58B6" w:rsidRDefault="00EB3F0E" w:rsidP="00EB3F0E">
      <w:pPr>
        <w:pStyle w:val="naiskr"/>
        <w:spacing w:before="130" w:after="0" w:line="260" w:lineRule="exact"/>
        <w:jc w:val="both"/>
        <w:rPr>
          <w:rFonts w:ascii="Cambria" w:hAnsi="Cambria"/>
          <w:sz w:val="19"/>
          <w:szCs w:val="19"/>
        </w:rPr>
      </w:pPr>
    </w:p>
    <w:p w:rsidR="00EB3F0E" w:rsidRPr="005A58B6" w:rsidRDefault="00EB3F0E" w:rsidP="00EB3F0E">
      <w:pPr>
        <w:pStyle w:val="naiskr"/>
        <w:spacing w:before="130" w:after="0" w:line="260" w:lineRule="exact"/>
        <w:jc w:val="both"/>
        <w:rPr>
          <w:rFonts w:ascii="Cambria" w:hAnsi="Cambria"/>
          <w:sz w:val="19"/>
          <w:szCs w:val="19"/>
        </w:rPr>
      </w:pPr>
      <w:r w:rsidRPr="005A58B6">
        <w:rPr>
          <w:rFonts w:ascii="Cambria" w:hAnsi="Cambria"/>
          <w:sz w:val="19"/>
          <w:szCs w:val="19"/>
        </w:rPr>
        <w:t>(d) komersants izpildīs un nodrošinās, cik labi vien iespējams, ka tā pārstāvis izpildīs noteikumus, saskaņā ar kuriem notiek izsole, un izsludināšanas lēmumā paredzēto;</w:t>
      </w:r>
    </w:p>
    <w:p w:rsidR="00EB3F0E" w:rsidRPr="005A58B6" w:rsidRDefault="00EB3F0E" w:rsidP="00EB3F0E">
      <w:pPr>
        <w:pStyle w:val="naiskr"/>
        <w:spacing w:before="130" w:after="0" w:line="260" w:lineRule="exact"/>
        <w:jc w:val="both"/>
        <w:rPr>
          <w:rFonts w:ascii="Cambria" w:hAnsi="Cambria"/>
          <w:sz w:val="19"/>
          <w:szCs w:val="19"/>
        </w:rPr>
      </w:pPr>
    </w:p>
    <w:p w:rsidR="00EB3F0E" w:rsidRPr="005A58B6" w:rsidRDefault="00EB3F0E" w:rsidP="00EB3F0E">
      <w:pPr>
        <w:pStyle w:val="naiskr"/>
        <w:spacing w:before="130" w:after="0" w:line="260" w:lineRule="exact"/>
        <w:jc w:val="both"/>
        <w:rPr>
          <w:rFonts w:ascii="Cambria" w:hAnsi="Cambria"/>
          <w:sz w:val="19"/>
          <w:szCs w:val="19"/>
        </w:rPr>
      </w:pPr>
      <w:r w:rsidRPr="005A58B6">
        <w:rPr>
          <w:rFonts w:ascii="Cambria" w:hAnsi="Cambria"/>
          <w:sz w:val="19"/>
          <w:szCs w:val="19"/>
        </w:rPr>
        <w:lastRenderedPageBreak/>
        <w:t>(e) komersanta pārstāvis nevienosies vai citādā veidā neietekmēs, vai nemēģinās ietekmēt izsoles rezultātu, vienojoties ar citu izsoles pretendentu vai dalībnieku, vai jebkuru citu personu, kas tieši vai netieši ir saistīta ar citu pretendentu vai izsoles dalībnieku;</w:t>
      </w:r>
    </w:p>
    <w:p w:rsidR="00EB3F0E" w:rsidRPr="005A58B6" w:rsidRDefault="00EB3F0E" w:rsidP="00EB3F0E">
      <w:pPr>
        <w:pStyle w:val="naisf"/>
        <w:spacing w:before="130" w:after="0" w:line="260" w:lineRule="exact"/>
        <w:ind w:firstLine="0"/>
        <w:rPr>
          <w:rFonts w:ascii="Cambria" w:hAnsi="Cambria"/>
          <w:sz w:val="19"/>
          <w:szCs w:val="19"/>
        </w:rPr>
      </w:pPr>
      <w:r w:rsidRPr="005A58B6">
        <w:rPr>
          <w:rFonts w:ascii="Cambria" w:hAnsi="Cambria"/>
          <w:sz w:val="19"/>
          <w:szCs w:val="19"/>
        </w:rPr>
        <w:t>(f) komersanta pārstāvis nemēģinās iegū</w:t>
      </w:r>
      <w:r w:rsidR="00425A7A">
        <w:rPr>
          <w:rFonts w:ascii="Cambria" w:hAnsi="Cambria"/>
          <w:sz w:val="19"/>
          <w:szCs w:val="19"/>
        </w:rPr>
        <w:t>t vai meklēt ziņas par cita</w:t>
      </w:r>
      <w:r w:rsidRPr="005A58B6">
        <w:rPr>
          <w:rFonts w:ascii="Cambria" w:hAnsi="Cambria"/>
          <w:sz w:val="19"/>
          <w:szCs w:val="19"/>
        </w:rPr>
        <w:t xml:space="preserve"> izsoles pretendenta vai dalībnieka sniegto informāciju reģistrācijas iesniegumā un izsoles komisijai;</w:t>
      </w:r>
    </w:p>
    <w:p w:rsidR="00EB3F0E" w:rsidRPr="005A58B6" w:rsidRDefault="00EB3F0E" w:rsidP="00EB3F0E">
      <w:pPr>
        <w:pStyle w:val="naisf"/>
        <w:spacing w:before="130" w:after="0" w:line="260" w:lineRule="exact"/>
        <w:ind w:firstLine="0"/>
        <w:rPr>
          <w:rFonts w:ascii="Cambria" w:hAnsi="Cambria"/>
          <w:sz w:val="19"/>
          <w:szCs w:val="19"/>
        </w:rPr>
      </w:pPr>
    </w:p>
    <w:p w:rsidR="00EB3F0E" w:rsidRPr="005A58B6" w:rsidRDefault="00EB3F0E" w:rsidP="00EB3F0E">
      <w:pPr>
        <w:pStyle w:val="naiskr"/>
        <w:spacing w:before="130" w:after="0" w:line="260" w:lineRule="exact"/>
        <w:jc w:val="both"/>
        <w:rPr>
          <w:rFonts w:ascii="Cambria" w:hAnsi="Cambria"/>
          <w:sz w:val="19"/>
          <w:szCs w:val="19"/>
        </w:rPr>
      </w:pPr>
      <w:r w:rsidRPr="005A58B6">
        <w:rPr>
          <w:rFonts w:ascii="Cambria" w:hAnsi="Cambria"/>
          <w:sz w:val="19"/>
          <w:szCs w:val="19"/>
        </w:rPr>
        <w:t>(g) komersanta pārstāvis nav vienojies ar citu izsoles pretendentu vai dalībnieku, tā pārstāvjiem vai citu personu, un starp tiem nepastāv nekādas vienošanās par izsoles rezultātu iespaidošanu vai mēģinājumu tos iespaidot;</w:t>
      </w:r>
    </w:p>
    <w:p w:rsidR="00EB3F0E" w:rsidRPr="005A58B6" w:rsidRDefault="00EB3F0E" w:rsidP="00EB3F0E">
      <w:pPr>
        <w:pStyle w:val="naiskr"/>
        <w:spacing w:before="130" w:after="0" w:line="260" w:lineRule="exact"/>
        <w:jc w:val="both"/>
        <w:rPr>
          <w:rFonts w:ascii="Cambria" w:hAnsi="Cambria"/>
          <w:sz w:val="19"/>
          <w:szCs w:val="19"/>
        </w:rPr>
      </w:pPr>
    </w:p>
    <w:p w:rsidR="00EB3F0E" w:rsidRDefault="00EB3F0E" w:rsidP="00EB3F0E">
      <w:pPr>
        <w:pStyle w:val="naiskr"/>
        <w:spacing w:before="130" w:after="0" w:line="260" w:lineRule="exact"/>
        <w:jc w:val="both"/>
        <w:rPr>
          <w:rFonts w:ascii="Cambria" w:hAnsi="Cambria"/>
          <w:sz w:val="19"/>
          <w:szCs w:val="19"/>
        </w:rPr>
      </w:pPr>
      <w:r w:rsidRPr="005A58B6">
        <w:rPr>
          <w:rFonts w:ascii="Cambria" w:hAnsi="Cambria"/>
          <w:sz w:val="19"/>
          <w:szCs w:val="19"/>
        </w:rPr>
        <w:t>(h) komersants atzīs un pilnībā atbildēs par tā pārstāvju darbībām izsolē.</w:t>
      </w:r>
    </w:p>
    <w:p w:rsidR="00EB3F0E" w:rsidRDefault="00EB3F0E" w:rsidP="00EB3F0E">
      <w:pPr>
        <w:pStyle w:val="naiskr"/>
        <w:spacing w:before="130" w:after="0" w:line="260" w:lineRule="exact"/>
        <w:jc w:val="both"/>
        <w:rPr>
          <w:rFonts w:ascii="Cambria" w:hAnsi="Cambria"/>
          <w:sz w:val="19"/>
          <w:szCs w:val="19"/>
        </w:rPr>
      </w:pPr>
    </w:p>
    <w:p w:rsidR="00EB3F0E" w:rsidRDefault="00EB3F0E" w:rsidP="00EB3F0E">
      <w:pPr>
        <w:pStyle w:val="naiskr"/>
        <w:spacing w:before="130" w:after="0" w:line="260" w:lineRule="exact"/>
        <w:ind w:firstLine="539"/>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52"/>
        <w:gridCol w:w="1839"/>
        <w:gridCol w:w="5671"/>
      </w:tblGrid>
      <w:tr w:rsidR="00EB3F0E" w:rsidRPr="00A421B6" w:rsidTr="009D6C45">
        <w:tc>
          <w:tcPr>
            <w:tcW w:w="879" w:type="dxa"/>
            <w:shd w:val="clear" w:color="auto" w:fill="auto"/>
          </w:tcPr>
          <w:p w:rsidR="00EB3F0E" w:rsidRPr="00A421B6" w:rsidRDefault="00EB3F0E" w:rsidP="009D6C45">
            <w:pPr>
              <w:pStyle w:val="naiskr"/>
              <w:spacing w:before="0" w:after="0"/>
              <w:rPr>
                <w:rFonts w:ascii="Cambria" w:hAnsi="Cambria"/>
                <w:sz w:val="19"/>
                <w:szCs w:val="19"/>
              </w:rPr>
            </w:pPr>
            <w:r w:rsidRPr="00A421B6">
              <w:rPr>
                <w:rFonts w:ascii="Cambria" w:hAnsi="Cambria"/>
                <w:sz w:val="19"/>
                <w:szCs w:val="19"/>
              </w:rPr>
              <w:t>Datums</w:t>
            </w:r>
          </w:p>
        </w:tc>
        <w:tc>
          <w:tcPr>
            <w:tcW w:w="2126" w:type="dxa"/>
            <w:tcBorders>
              <w:bottom w:val="single" w:sz="4" w:space="0" w:color="auto"/>
            </w:tcBorders>
            <w:shd w:val="clear" w:color="auto" w:fill="auto"/>
          </w:tcPr>
          <w:p w:rsidR="00EB3F0E" w:rsidRPr="00A421B6" w:rsidRDefault="00EB3F0E" w:rsidP="009D6C45">
            <w:pPr>
              <w:pStyle w:val="naiskr"/>
              <w:spacing w:before="0" w:after="0"/>
              <w:rPr>
                <w:rFonts w:ascii="Cambria" w:hAnsi="Cambria"/>
                <w:sz w:val="19"/>
                <w:szCs w:val="19"/>
              </w:rPr>
            </w:pPr>
          </w:p>
        </w:tc>
        <w:tc>
          <w:tcPr>
            <w:tcW w:w="6576" w:type="dxa"/>
            <w:shd w:val="clear" w:color="auto" w:fill="auto"/>
          </w:tcPr>
          <w:p w:rsidR="00EB3F0E" w:rsidRPr="00A421B6" w:rsidRDefault="00EB3F0E" w:rsidP="009D6C45">
            <w:pPr>
              <w:pStyle w:val="naiskr"/>
              <w:spacing w:before="0" w:after="0"/>
              <w:rPr>
                <w:rFonts w:ascii="Cambria" w:hAnsi="Cambria"/>
                <w:sz w:val="19"/>
                <w:szCs w:val="19"/>
              </w:rPr>
            </w:pPr>
          </w:p>
        </w:tc>
      </w:tr>
    </w:tbl>
    <w:p w:rsidR="00EB3F0E" w:rsidRDefault="00EB3F0E" w:rsidP="00EB3F0E">
      <w:pPr>
        <w:pStyle w:val="naiskr"/>
        <w:spacing w:before="130" w:after="0" w:line="260" w:lineRule="exact"/>
        <w:rPr>
          <w:rFonts w:ascii="Cambria" w:hAnsi="Cambria"/>
          <w:sz w:val="19"/>
          <w:szCs w:val="19"/>
        </w:rPr>
      </w:pPr>
    </w:p>
    <w:tbl>
      <w:tblPr>
        <w:tblW w:w="5000" w:type="pct"/>
        <w:tblCellSpacing w:w="0" w:type="dxa"/>
        <w:tblCellMar>
          <w:top w:w="28" w:type="dxa"/>
          <w:left w:w="28" w:type="dxa"/>
          <w:bottom w:w="28" w:type="dxa"/>
          <w:right w:w="28" w:type="dxa"/>
        </w:tblCellMar>
        <w:tblLook w:val="0000" w:firstRow="0" w:lastRow="0" w:firstColumn="0" w:lastColumn="0" w:noHBand="0" w:noVBand="0"/>
      </w:tblPr>
      <w:tblGrid>
        <w:gridCol w:w="2090"/>
        <w:gridCol w:w="6272"/>
      </w:tblGrid>
      <w:tr w:rsidR="00EB3F0E" w:rsidRPr="00630A17" w:rsidTr="009D6C45">
        <w:trPr>
          <w:tblCellSpacing w:w="0" w:type="dxa"/>
        </w:trPr>
        <w:tc>
          <w:tcPr>
            <w:tcW w:w="2220" w:type="dxa"/>
          </w:tcPr>
          <w:p w:rsidR="00EB3F0E" w:rsidRPr="00630A17" w:rsidRDefault="00EB3F0E" w:rsidP="009D6C45">
            <w:pPr>
              <w:pStyle w:val="naiskr"/>
              <w:spacing w:before="0" w:after="0"/>
              <w:rPr>
                <w:rFonts w:ascii="Cambria" w:hAnsi="Cambria"/>
                <w:sz w:val="19"/>
                <w:szCs w:val="19"/>
              </w:rPr>
            </w:pPr>
            <w:r w:rsidRPr="00630A17">
              <w:rPr>
                <w:rFonts w:ascii="Cambria" w:hAnsi="Cambria"/>
                <w:sz w:val="19"/>
                <w:szCs w:val="19"/>
              </w:rPr>
              <w:t>Pārstāvis, kurš ir tiesīgs pārstāvēt komersantu</w:t>
            </w:r>
          </w:p>
        </w:tc>
        <w:tc>
          <w:tcPr>
            <w:tcW w:w="6930" w:type="dxa"/>
          </w:tcPr>
          <w:p w:rsidR="00EB3F0E" w:rsidRPr="00630A17" w:rsidRDefault="00EB3F0E" w:rsidP="009D6C45">
            <w:pPr>
              <w:pStyle w:val="naiskr"/>
              <w:spacing w:before="0" w:after="0"/>
              <w:rPr>
                <w:rFonts w:ascii="Cambria" w:hAnsi="Cambria"/>
                <w:sz w:val="19"/>
                <w:szCs w:val="19"/>
              </w:rPr>
            </w:pPr>
            <w:r w:rsidRPr="00630A17">
              <w:rPr>
                <w:rFonts w:ascii="Cambria" w:hAnsi="Cambria"/>
                <w:sz w:val="19"/>
                <w:szCs w:val="19"/>
              </w:rPr>
              <w:t xml:space="preserve"> </w:t>
            </w:r>
          </w:p>
        </w:tc>
      </w:tr>
      <w:tr w:rsidR="00EB3F0E" w:rsidRPr="00630A17" w:rsidTr="009D6C45">
        <w:trPr>
          <w:tblCellSpacing w:w="0" w:type="dxa"/>
        </w:trPr>
        <w:tc>
          <w:tcPr>
            <w:tcW w:w="2220" w:type="dxa"/>
          </w:tcPr>
          <w:p w:rsidR="00EB3F0E" w:rsidRPr="00630A17" w:rsidRDefault="00EB3F0E" w:rsidP="009D6C45">
            <w:pPr>
              <w:pStyle w:val="naiskr"/>
              <w:spacing w:before="0" w:after="0"/>
              <w:rPr>
                <w:rFonts w:ascii="Cambria" w:hAnsi="Cambria"/>
                <w:sz w:val="19"/>
                <w:szCs w:val="19"/>
              </w:rPr>
            </w:pPr>
          </w:p>
        </w:tc>
        <w:tc>
          <w:tcPr>
            <w:tcW w:w="6930" w:type="dxa"/>
            <w:tcBorders>
              <w:top w:val="single" w:sz="6" w:space="0" w:color="000000"/>
            </w:tcBorders>
          </w:tcPr>
          <w:p w:rsidR="00EB3F0E" w:rsidRPr="00630A17" w:rsidRDefault="00EB3F0E" w:rsidP="009D6C45">
            <w:pPr>
              <w:pStyle w:val="naisc"/>
              <w:spacing w:before="0" w:after="0"/>
              <w:rPr>
                <w:rFonts w:ascii="Cambria" w:hAnsi="Cambria"/>
                <w:sz w:val="17"/>
                <w:szCs w:val="17"/>
              </w:rPr>
            </w:pPr>
            <w:r w:rsidRPr="00630A17">
              <w:rPr>
                <w:rFonts w:ascii="Cambria" w:hAnsi="Cambria"/>
                <w:sz w:val="17"/>
                <w:szCs w:val="17"/>
              </w:rPr>
              <w:t>(paraksts un tā atšifrējums)</w:t>
            </w:r>
          </w:p>
        </w:tc>
      </w:tr>
    </w:tbl>
    <w:p w:rsidR="00FA6B1D" w:rsidRPr="00EB3F0E" w:rsidRDefault="00FA6B1D" w:rsidP="00EB3F0E"/>
    <w:sectPr w:rsidR="00FA6B1D" w:rsidRPr="00EB3F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48"/>
    <w:rsid w:val="00425A7A"/>
    <w:rsid w:val="00B03482"/>
    <w:rsid w:val="00BE4548"/>
    <w:rsid w:val="00EB3F0E"/>
    <w:rsid w:val="00FA6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E4548"/>
    <w:pPr>
      <w:spacing w:before="75" w:after="75"/>
      <w:ind w:firstLine="375"/>
      <w:jc w:val="both"/>
    </w:pPr>
    <w:rPr>
      <w:lang w:eastAsia="lv-LV"/>
    </w:rPr>
  </w:style>
  <w:style w:type="paragraph" w:customStyle="1" w:styleId="naisnod">
    <w:name w:val="naisnod"/>
    <w:basedOn w:val="Normal"/>
    <w:rsid w:val="00BE4548"/>
    <w:pPr>
      <w:spacing w:before="150" w:after="150"/>
      <w:jc w:val="center"/>
    </w:pPr>
    <w:rPr>
      <w:b/>
      <w:bCs/>
      <w:lang w:eastAsia="lv-LV"/>
    </w:rPr>
  </w:style>
  <w:style w:type="paragraph" w:customStyle="1" w:styleId="naiskr">
    <w:name w:val="naiskr"/>
    <w:basedOn w:val="Normal"/>
    <w:rsid w:val="00BE4548"/>
    <w:pPr>
      <w:spacing w:before="75" w:after="75"/>
    </w:pPr>
    <w:rPr>
      <w:lang w:eastAsia="lv-LV"/>
    </w:rPr>
  </w:style>
  <w:style w:type="paragraph" w:customStyle="1" w:styleId="naisc">
    <w:name w:val="naisc"/>
    <w:basedOn w:val="Normal"/>
    <w:rsid w:val="00BE4548"/>
    <w:pPr>
      <w:spacing w:before="75" w:after="75"/>
      <w:jc w:val="center"/>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E4548"/>
    <w:pPr>
      <w:spacing w:before="75" w:after="75"/>
      <w:ind w:firstLine="375"/>
      <w:jc w:val="both"/>
    </w:pPr>
    <w:rPr>
      <w:lang w:eastAsia="lv-LV"/>
    </w:rPr>
  </w:style>
  <w:style w:type="paragraph" w:customStyle="1" w:styleId="naisnod">
    <w:name w:val="naisnod"/>
    <w:basedOn w:val="Normal"/>
    <w:rsid w:val="00BE4548"/>
    <w:pPr>
      <w:spacing w:before="150" w:after="150"/>
      <w:jc w:val="center"/>
    </w:pPr>
    <w:rPr>
      <w:b/>
      <w:bCs/>
      <w:lang w:eastAsia="lv-LV"/>
    </w:rPr>
  </w:style>
  <w:style w:type="paragraph" w:customStyle="1" w:styleId="naiskr">
    <w:name w:val="naiskr"/>
    <w:basedOn w:val="Normal"/>
    <w:rsid w:val="00BE4548"/>
    <w:pPr>
      <w:spacing w:before="75" w:after="75"/>
    </w:pPr>
    <w:rPr>
      <w:lang w:eastAsia="lv-LV"/>
    </w:rPr>
  </w:style>
  <w:style w:type="paragraph" w:customStyle="1" w:styleId="naisc">
    <w:name w:val="naisc"/>
    <w:basedOn w:val="Normal"/>
    <w:rsid w:val="00BE4548"/>
    <w:pPr>
      <w:spacing w:before="75" w:after="75"/>
      <w:jc w:val="center"/>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Sandra Spuļģe</cp:lastModifiedBy>
  <cp:revision>4</cp:revision>
  <dcterms:created xsi:type="dcterms:W3CDTF">2018-06-12T12:14:00Z</dcterms:created>
  <dcterms:modified xsi:type="dcterms:W3CDTF">2020-02-04T09:12:00Z</dcterms:modified>
</cp:coreProperties>
</file>