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66" w:rsidRPr="00B16322" w:rsidRDefault="002A5D66" w:rsidP="002A5D66">
      <w:pPr>
        <w:tabs>
          <w:tab w:val="left" w:pos="1576"/>
          <w:tab w:val="left" w:pos="3788"/>
          <w:tab w:val="left" w:pos="6000"/>
          <w:tab w:val="left" w:pos="7120"/>
          <w:tab w:val="left" w:pos="8240"/>
          <w:tab w:val="left" w:pos="9360"/>
          <w:tab w:val="left" w:pos="14156"/>
          <w:tab w:val="left" w:pos="15276"/>
          <w:tab w:val="left" w:pos="16396"/>
          <w:tab w:val="left" w:pos="17516"/>
          <w:tab w:val="left" w:pos="18996"/>
          <w:tab w:val="left" w:pos="20616"/>
        </w:tabs>
        <w:spacing w:before="130" w:line="260" w:lineRule="exact"/>
        <w:ind w:firstLine="539"/>
        <w:jc w:val="right"/>
        <w:rPr>
          <w:rFonts w:ascii="Cambria" w:eastAsia="Times New Roman" w:hAnsi="Cambria"/>
          <w:color w:val="000000"/>
          <w:sz w:val="19"/>
          <w:lang w:val="lv-LV" w:eastAsia="lv-LV"/>
        </w:rPr>
      </w:pPr>
      <w:r w:rsidRPr="00B16322">
        <w:rPr>
          <w:rFonts w:ascii="Cambria" w:eastAsia="Times New Roman" w:hAnsi="Cambria"/>
          <w:iCs/>
          <w:color w:val="000000"/>
          <w:sz w:val="19"/>
          <w:szCs w:val="28"/>
          <w:lang w:val="lv-LV" w:eastAsia="lv-LV"/>
        </w:rPr>
        <w:t>Finanšu ministrijas iesniegtajā redakcijā</w:t>
      </w:r>
    </w:p>
    <w:p w:rsidR="002A5D66" w:rsidRPr="00E72A23" w:rsidRDefault="002A5D66" w:rsidP="002A5D66">
      <w:pPr>
        <w:tabs>
          <w:tab w:val="left" w:pos="798"/>
          <w:tab w:val="left" w:pos="4458"/>
          <w:tab w:val="left" w:pos="5418"/>
          <w:tab w:val="left" w:pos="6358"/>
          <w:tab w:val="left" w:pos="7278"/>
          <w:tab w:val="left" w:pos="8238"/>
          <w:tab w:val="left" w:pos="9238"/>
          <w:tab w:val="left" w:pos="10158"/>
          <w:tab w:val="left" w:pos="11078"/>
          <w:tab w:val="left" w:pos="12018"/>
          <w:tab w:val="left" w:pos="12830"/>
          <w:tab w:val="left" w:pos="13830"/>
        </w:tabs>
        <w:spacing w:before="130" w:line="260" w:lineRule="exact"/>
        <w:ind w:firstLine="539"/>
        <w:jc w:val="right"/>
        <w:rPr>
          <w:rFonts w:ascii="Cambria" w:eastAsia="Times New Roman" w:hAnsi="Cambria"/>
          <w:color w:val="000000"/>
          <w:sz w:val="19"/>
          <w:szCs w:val="28"/>
          <w:lang w:val="lv-LV" w:eastAsia="lv-LV"/>
        </w:rPr>
      </w:pPr>
      <w:r w:rsidRPr="00DC044B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3. pielikums</w:t>
      </w:r>
      <w:r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br/>
      </w:r>
      <w:r w:rsidRPr="00DC044B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Ministru kabineta</w:t>
      </w:r>
      <w:r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br/>
      </w:r>
      <w:r>
        <w:rPr>
          <w:rFonts w:ascii="Cambria" w:eastAsia="Times New Roman" w:hAnsi="Cambria"/>
          <w:sz w:val="19"/>
          <w:szCs w:val="20"/>
          <w:lang w:val="lv-LV" w:eastAsia="lv-LV"/>
        </w:rPr>
        <w:t xml:space="preserve"> </w:t>
      </w:r>
      <w:r w:rsidRPr="00DC044B">
        <w:rPr>
          <w:rFonts w:ascii="Cambria" w:eastAsia="Times New Roman" w:hAnsi="Cambria"/>
          <w:sz w:val="19"/>
          <w:szCs w:val="28"/>
          <w:lang w:val="lv-LV" w:eastAsia="lv-LV"/>
        </w:rPr>
        <w:t>2018. gada 10. aprīļa</w:t>
      </w:r>
      <w:r w:rsidRPr="00E72A23">
        <w:rPr>
          <w:rFonts w:ascii="Cambria" w:eastAsia="Times New Roman" w:hAnsi="Cambria"/>
          <w:sz w:val="19"/>
          <w:szCs w:val="28"/>
          <w:lang w:val="lv-LV" w:eastAsia="lv-LV"/>
        </w:rPr>
        <w:t xml:space="preserve"> </w:t>
      </w:r>
      <w:r>
        <w:rPr>
          <w:rFonts w:ascii="Cambria" w:eastAsia="Times New Roman" w:hAnsi="Cambria"/>
          <w:sz w:val="19"/>
          <w:szCs w:val="28"/>
          <w:lang w:val="lv-LV" w:eastAsia="lv-LV"/>
        </w:rPr>
        <w:br/>
      </w:r>
      <w:r w:rsidRPr="00DC044B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instrukcijai Nr. 2</w:t>
      </w:r>
      <w:r w:rsidRPr="00E72A23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 xml:space="preserve"> </w:t>
      </w:r>
    </w:p>
    <w:p w:rsidR="002A5D66" w:rsidRPr="00B16322" w:rsidRDefault="002A5D66" w:rsidP="002A5D66">
      <w:pPr>
        <w:spacing w:before="360"/>
        <w:ind w:left="567" w:right="567"/>
        <w:jc w:val="center"/>
        <w:rPr>
          <w:rFonts w:ascii="Cambria" w:eastAsia="Times New Roman" w:hAnsi="Cambria"/>
          <w:b/>
          <w:bCs/>
          <w:lang w:val="lv-LV" w:eastAsia="lv-LV"/>
        </w:rPr>
      </w:pPr>
      <w:r w:rsidRPr="00DC044B">
        <w:rPr>
          <w:rFonts w:ascii="Cambria" w:eastAsia="Times New Roman" w:hAnsi="Cambria"/>
          <w:b/>
          <w:bCs/>
          <w:lang w:val="lv-LV" w:eastAsia="lv-LV"/>
        </w:rPr>
        <w:t>Valsts sociālo pabalstu, izdienas pensiju, valsts atbalsta sociālajai apdrošināšanai, valsts speciālā budžeta sociālo pabalstu un iemaksu valsts pensiju, invaliditātes apdrošināšanai un apdrošināšanai bezdarba gadījumā izpilde 20___.gada __ mēnešos*</w:t>
      </w:r>
    </w:p>
    <w:p w:rsidR="002A5D66" w:rsidRPr="00DC044B" w:rsidRDefault="002A5D66" w:rsidP="002A5D66">
      <w:pPr>
        <w:spacing w:before="130" w:line="260" w:lineRule="exact"/>
        <w:ind w:firstLine="539"/>
        <w:jc w:val="center"/>
        <w:rPr>
          <w:rFonts w:ascii="Cambria" w:eastAsia="Times New Roman" w:hAnsi="Cambria"/>
          <w:i/>
          <w:iCs/>
          <w:sz w:val="19"/>
          <w:szCs w:val="20"/>
          <w:lang w:val="lv-LV" w:eastAsia="lv-LV"/>
        </w:rPr>
      </w:pPr>
      <w:r w:rsidRPr="00DC044B">
        <w:rPr>
          <w:rFonts w:ascii="Cambria" w:eastAsia="Times New Roman" w:hAnsi="Cambria"/>
          <w:i/>
          <w:iCs/>
          <w:sz w:val="19"/>
          <w:szCs w:val="20"/>
          <w:lang w:val="lv-LV"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46"/>
        <w:gridCol w:w="856"/>
        <w:gridCol w:w="838"/>
        <w:gridCol w:w="821"/>
        <w:gridCol w:w="856"/>
        <w:gridCol w:w="891"/>
        <w:gridCol w:w="821"/>
        <w:gridCol w:w="821"/>
        <w:gridCol w:w="838"/>
        <w:gridCol w:w="719"/>
        <w:gridCol w:w="891"/>
        <w:gridCol w:w="1788"/>
      </w:tblGrid>
      <w:tr w:rsidR="002A5D66" w:rsidRPr="00B16322" w:rsidTr="008451B1"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Klasi</w:t>
            </w:r>
            <w: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-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fikā</w:t>
            </w:r>
            <w:proofErr w:type="spellEnd"/>
            <w: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-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cijas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kods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Apakšprogramma/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izdevumu veids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Iepriekšējā gada __ mēnešu izpilde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Pārskata perioda plāns</w:t>
            </w:r>
          </w:p>
        </w:tc>
        <w:tc>
          <w:tcPr>
            <w:tcW w:w="2665" w:type="dxa"/>
            <w:gridSpan w:val="3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Pārskata perioda izpilde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Pārskata perioda izpildes un </w:t>
            </w:r>
            <w: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iepriekš-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šējā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gada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 xml:space="preserve"> mēnešu izpildes izmaiņas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Pārskata perioda izpilde pret pārskata perioda plānu (procenti)</w:t>
            </w:r>
          </w:p>
        </w:tc>
      </w:tr>
      <w:tr w:rsidR="002A5D66" w:rsidRPr="00B16322" w:rsidTr="008451B1">
        <w:tc>
          <w:tcPr>
            <w:tcW w:w="628" w:type="dxa"/>
            <w:vMerge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</w:p>
        </w:tc>
        <w:tc>
          <w:tcPr>
            <w:tcW w:w="3660" w:type="dxa"/>
            <w:vMerge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skaits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vidēji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mēnesī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pabalsta/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iemaksu apmērs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vidēji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 xml:space="preserve">mēnesī 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izdevumi kopā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pēc naudas plūsmas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skaits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vidēji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mēnesī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pabalsta/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iemaksu apmērs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vidēji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 xml:space="preserve">mēnesī 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izdevumi kopā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pēc naudas plūsmas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skaits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vidēji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mēnesī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pabalsta/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iemaksu apmērs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>vidēji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  <w:t xml:space="preserve">mēnesī 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izdevumi kopā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pēc naudas plūsmas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000" w:type="dxa"/>
            <w:vMerge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9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12=11-5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13=11:8x100</w:t>
            </w:r>
          </w:p>
        </w:tc>
      </w:tr>
      <w:tr w:rsidR="002A5D66" w:rsidRPr="00B16322" w:rsidTr="008451B1">
        <w:tc>
          <w:tcPr>
            <w:tcW w:w="628" w:type="dxa"/>
            <w:shd w:val="clear" w:color="000000" w:fill="E2EFDA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Valsts pamatbudžets</w:t>
            </w:r>
          </w:p>
        </w:tc>
        <w:tc>
          <w:tcPr>
            <w:tcW w:w="96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000000" w:fill="E2EFDA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Labklājības ministrija</w:t>
            </w:r>
          </w:p>
        </w:tc>
        <w:tc>
          <w:tcPr>
            <w:tcW w:w="96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20.01.00 Valsts sociālie pabalsti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6226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Kaitējuma atlīdzība Černobiļas atomelektrostacijas (turpmāk - Černobiļas AES) avārijas rezultātā cietušajām personām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6231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Bērnu kopšanas pabalsts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FFFFFF"/>
            <w:noWrap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Bērna kopšanas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lastRenderedPageBreak/>
              <w:t> </w:t>
            </w:r>
          </w:p>
        </w:tc>
        <w:tc>
          <w:tcPr>
            <w:tcW w:w="3660" w:type="dxa"/>
            <w:shd w:val="clear" w:color="000000" w:fill="FFFFFF"/>
            <w:noWrap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Bērna invalīda kopšanas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6232</w:t>
            </w:r>
          </w:p>
        </w:tc>
        <w:tc>
          <w:tcPr>
            <w:tcW w:w="3660" w:type="dxa"/>
            <w:shd w:val="clear" w:color="000000" w:fill="FFFFFF"/>
            <w:noWrap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Ģimenes valsts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6233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Piemaksa pie ģimenes valsts pabalsta par bērnu invalīdu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6234</w:t>
            </w:r>
          </w:p>
        </w:tc>
        <w:tc>
          <w:tcPr>
            <w:tcW w:w="3660" w:type="dxa"/>
            <w:shd w:val="clear" w:color="000000" w:fill="FFFFFF"/>
            <w:noWrap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Bērna piedzimšanas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6235</w:t>
            </w:r>
          </w:p>
        </w:tc>
        <w:tc>
          <w:tcPr>
            <w:tcW w:w="3660" w:type="dxa"/>
            <w:shd w:val="clear" w:color="000000" w:fill="FFFFFF"/>
            <w:noWrap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Valsts sociālā nodrošinājuma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6237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un atlīdzība aizbildnim un audžuģimenei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 xml:space="preserve">tai skaitā: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aizbildnim par bērna uzturēšanu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 par aizbildņa pienākumu pildīšanu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 par audžuģimenes pienākumu pildīšanu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6238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invalīdam, kuram nepieciešama īpaša kopšana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6239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pabalsti un kompensācijas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Valsts sociālais pabalsts Černobiļas AES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avārjas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seku likvidēšanas dalībniekiem un mirušo Černobiļas AES avārijas</w:t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seku likvidēšanas dalībnieku ģimenēm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transporta izdevumu kompensēšanai invalīdiem, kuriem ir pārvietošanās grūtības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par asistenta izmantošanu personām ar I grupas redzes invaliditāti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lastRenderedPageBreak/>
              <w:t> 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Valsts speciālais pabalsts Latvijas neatkarības atgūšanas procesā bojāgājušo personu bērniem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Pabalsts ar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celiakiju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slimiem bērniem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Apbedīšanas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 par adopciju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 par adoptējamā bērna aprūpi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20.02.00 Izdienas pensijas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6216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Izdienas pensijas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Apbedīšanas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6229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pabalsti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7100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transferti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7120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transferti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no valsts pamatbudžeta uz valsts speciālo budžetu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PB dotācija piemaksām pie vecuma pensijām, lai saglabātu piešķirto izdienas pensijas apmēru tām personām, kurām izdienas pensijas piešķirtas saskaņā ar nolikumu "Par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iekšlietu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iestāžu ierindas un komandējošā sastāva darbinieku pensijām (darba devēju pensijām)"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20.03.00 Piemaksas pie vecuma un invaliditātes pensijām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7100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transferti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7120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transferti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no valsts pamatbudžeta uz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lastRenderedPageBreak/>
              <w:t>valsts speciālo budžetu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lastRenderedPageBreak/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Piemaksas pie vecuma pensijām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Piemaksas pie invaliditātes pensijām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20.04.00 Bēgļa un alternatīvo statusu ieguvušo personu pabalsti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6239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pabalsti un kompensācijas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04.00.00 Valsts atbalsts sociālajai apdrošināšanai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7100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transferti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7120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transferti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no valsts pamatbudžeta uz valsts speciālo budžetu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Politiski represēto personu pensiju izmaksai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Augstākās Padomes deputātu pensiju izmaksai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Pensiju apgādnieku zaudējuma gadījumā izmaksai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Valsts iemaksām pensiju apdrošināšanai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Valsts iemaksām apdrošināšanai bezdarba gadījumam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Valsts iemaksām invaliditātes apdrošināšanai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Valsts speciālais budžets</w:t>
            </w:r>
          </w:p>
        </w:tc>
        <w:tc>
          <w:tcPr>
            <w:tcW w:w="96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000000" w:fill="E2EFDA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8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Labklājības ministrija</w:t>
            </w:r>
          </w:p>
        </w:tc>
        <w:tc>
          <w:tcPr>
            <w:tcW w:w="96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000000" w:fill="A9D08E"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20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lastRenderedPageBreak/>
              <w:t> 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04.01.00. Valsts pensiju speciālais budžets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6211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Vecuma pensijas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6213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Pensijas apgādnieka zaudējuma gadījumā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6214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Augstākās Padomes deputātu pensijas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6215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Pensijas saskaņā ar speciāliem lēmumiem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6216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Izdienas pensijas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6225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Apbedīšanas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6226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Kaitējuma atlīdzība Černobiļas AES avārijas rezultātā cietušajām personām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6229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Pārējie pabalsti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000000" w:fill="FFFFFF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pensijas saņēmēja nāves gadījumā pārdzīvojušam laulātajam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6293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Pārmaksāto sociālās apdrošināšanas iemaksu atmaksa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6295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Eiropas Savienības pensiju shēmai pārskaitītais pensijas kapitāls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6299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klasifikācijā neminētie no valsts budžeta veiktie maksājumi iedzīvotājiem naudā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04.02.00. Nodarbinātības speciālais budžets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6225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Apbedīšanas pabalsts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6241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Bezdarbnieka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6293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Pārmaksāto sociālās apdrošināšanas iemaksu atmaksa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lastRenderedPageBreak/>
              <w:t>6299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klasifikācijā neminētie no valsts budžeta veiktie maksājumi iedzīvotājiem naudā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7140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Iemaksas valsts pensiju apdrošināšanai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04.03.00. Darba negadījumu speciālais budžets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6221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Slimības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6223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 par darbspēju zaudējumu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6224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Atlīdzība par apgādnieka zaudējumu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Apbedīšanas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6229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pabalsti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6293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Pārmaksāto sociālās apdrošināšanas iemaksu atmaksa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7140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transferti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no valsts speciālā budžeta uz valsts speciālo budžetu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Iemaksas valsts pensiju apdrošināšanai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Iemaksas apdrošināšanai bezdarba gadījumam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04.04.00. Invaliditātes, maternitātes un slimības speciālais budžets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6000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b/>
                <w:bCs/>
                <w:sz w:val="19"/>
                <w:szCs w:val="16"/>
                <w:lang w:val="lv-LV" w:eastAsia="lv-LV"/>
              </w:rPr>
              <w:t>Sociālie pabalsti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×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6212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Invaliditātes pensijas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6215</w:t>
            </w:r>
          </w:p>
        </w:tc>
        <w:tc>
          <w:tcPr>
            <w:tcW w:w="36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Pensijas saskaņā ar speciāliem lēmumiem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6221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Slimības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6222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Maternitātes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lastRenderedPageBreak/>
              <w:t>6225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Apbedīšanas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6226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Kaitējuma atlīdzība Černobiļas AES avārijas rezultātā cietušajām personām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6227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Paternitātes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6228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Darbā nodarītā kaitējuma atlīdzība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6229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Pārējie pabalsti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 xml:space="preserve"> 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Pabalsts pensijas saņēmēja nāves gadījumā pārdzīvojušam laulātajam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Vecāku pabalsts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6293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Pārmaksāto sociālās apdrošināšanas iemaksu atmaksa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7140</w:t>
            </w:r>
          </w:p>
        </w:tc>
        <w:tc>
          <w:tcPr>
            <w:tcW w:w="3660" w:type="dxa"/>
            <w:shd w:val="clear" w:color="000000" w:fill="FFFFFF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Valsts budžeta uzturēšanas izdevumu </w:t>
            </w:r>
            <w:proofErr w:type="spellStart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transferti</w:t>
            </w:r>
            <w:proofErr w:type="spellEnd"/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no valsts speciālā budžeta uz valsts speciālo budžetu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br/>
            </w:r>
            <w:r w:rsidRPr="00DC044B">
              <w:rPr>
                <w:rFonts w:ascii="Cambria" w:eastAsia="Times New Roman" w:hAnsi="Cambria"/>
                <w:i/>
                <w:iCs/>
                <w:sz w:val="19"/>
                <w:szCs w:val="16"/>
                <w:lang w:val="lv-LV" w:eastAsia="lv-LV"/>
              </w:rPr>
              <w:t>tai skaitā: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Iemaksas valsts pensiju apdrošināšanai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vAlign w:val="bottom"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Iemaksas apdrošināšanai bezdarba gadījumam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  <w:tr w:rsidR="002A5D66" w:rsidRPr="00B16322" w:rsidTr="008451B1">
        <w:tc>
          <w:tcPr>
            <w:tcW w:w="628" w:type="dxa"/>
            <w:shd w:val="clear" w:color="auto" w:fill="auto"/>
            <w:noWrap/>
            <w:vAlign w:val="bottom"/>
          </w:tcPr>
          <w:p w:rsidR="002A5D66" w:rsidRPr="00DC044B" w:rsidRDefault="002A5D66" w:rsidP="008451B1">
            <w:pPr>
              <w:jc w:val="right"/>
              <w:rPr>
                <w:rFonts w:ascii="Cambria" w:eastAsia="Times New Roman" w:hAnsi="Cambria"/>
                <w:color w:val="FF0000"/>
                <w:sz w:val="19"/>
                <w:szCs w:val="16"/>
                <w:lang w:val="lv-LV" w:eastAsia="lv-LV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B1632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 xml:space="preserve"> </w:t>
            </w: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Iemaksas invaliditātes apdrošināšanai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2A5D66" w:rsidRPr="00DC044B" w:rsidRDefault="002A5D66" w:rsidP="008451B1">
            <w:pPr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DC044B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 </w:t>
            </w:r>
          </w:p>
        </w:tc>
      </w:tr>
    </w:tbl>
    <w:p w:rsidR="002E1D1D" w:rsidRPr="002A5D66" w:rsidRDefault="002A5D66" w:rsidP="002A5D66">
      <w:pPr>
        <w:spacing w:before="130" w:line="260" w:lineRule="exact"/>
        <w:ind w:firstLine="539"/>
        <w:rPr>
          <w:rFonts w:ascii="Cambria" w:eastAsia="Times New Roman" w:hAnsi="Cambria"/>
          <w:i/>
          <w:iCs/>
          <w:sz w:val="17"/>
          <w:szCs w:val="17"/>
          <w:lang w:val="lv-LV" w:eastAsia="lv-LV"/>
        </w:rPr>
      </w:pPr>
      <w:r w:rsidRPr="00DC044B">
        <w:rPr>
          <w:rFonts w:ascii="Cambria" w:eastAsia="Times New Roman" w:hAnsi="Cambria"/>
          <w:i/>
          <w:iCs/>
          <w:sz w:val="17"/>
          <w:szCs w:val="17"/>
          <w:lang w:val="lv-LV" w:eastAsia="lv-LV"/>
        </w:rPr>
        <w:t>* Atbilstoši grozījumiem normatīvajos aktos, kas paredz izmaiņas pensiju, pabalstu vai atlīdzību veidos, tabula jāprecizē, norādot pensijas, pabalsta vai atlīdzības nosaukumu, plānu un izpildi.</w:t>
      </w:r>
      <w:bookmarkStart w:id="0" w:name="_GoBack"/>
      <w:bookmarkEnd w:id="0"/>
    </w:p>
    <w:sectPr w:rsidR="002E1D1D" w:rsidRPr="002A5D66" w:rsidSect="00D35A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BF1"/>
    <w:multiLevelType w:val="hybridMultilevel"/>
    <w:tmpl w:val="1480B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8D4"/>
    <w:multiLevelType w:val="hybridMultilevel"/>
    <w:tmpl w:val="74CC4D10"/>
    <w:lvl w:ilvl="0" w:tplc="DB606B08">
      <w:start w:val="1"/>
      <w:numFmt w:val="decimal"/>
      <w:lvlText w:val="%1."/>
      <w:lvlJc w:val="left"/>
      <w:pPr>
        <w:ind w:left="1064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D8F01E8"/>
    <w:multiLevelType w:val="multilevel"/>
    <w:tmpl w:val="A272981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E812FC"/>
    <w:multiLevelType w:val="hybridMultilevel"/>
    <w:tmpl w:val="0382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2840"/>
    <w:multiLevelType w:val="multilevel"/>
    <w:tmpl w:val="A164F736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CE439F"/>
    <w:multiLevelType w:val="multilevel"/>
    <w:tmpl w:val="D1C2A3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4FB461E8"/>
    <w:multiLevelType w:val="hybridMultilevel"/>
    <w:tmpl w:val="8174D992"/>
    <w:lvl w:ilvl="0" w:tplc="3A36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479F"/>
    <w:multiLevelType w:val="multilevel"/>
    <w:tmpl w:val="A63821B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705CD4"/>
    <w:multiLevelType w:val="hybridMultilevel"/>
    <w:tmpl w:val="9190BFF4"/>
    <w:lvl w:ilvl="0" w:tplc="96C0A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7374"/>
    <w:multiLevelType w:val="multilevel"/>
    <w:tmpl w:val="D4AC53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66BA2E03"/>
    <w:multiLevelType w:val="hybridMultilevel"/>
    <w:tmpl w:val="234C9476"/>
    <w:lvl w:ilvl="0" w:tplc="11E4C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E902C8"/>
    <w:multiLevelType w:val="hybridMultilevel"/>
    <w:tmpl w:val="090C796A"/>
    <w:lvl w:ilvl="0" w:tplc="4758893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A"/>
    <w:rsid w:val="002A5D66"/>
    <w:rsid w:val="002E1D1D"/>
    <w:rsid w:val="00D0083A"/>
    <w:rsid w:val="00D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2FDE8-9837-446F-8D36-EAB6390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D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1A"/>
    <w:pPr>
      <w:ind w:left="720"/>
      <w:contextualSpacing/>
    </w:pPr>
  </w:style>
  <w:style w:type="paragraph" w:customStyle="1" w:styleId="naisf">
    <w:name w:val="naisf"/>
    <w:basedOn w:val="Normal"/>
    <w:rsid w:val="00D35A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A5D66"/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tv2131">
    <w:name w:val="tv2131"/>
    <w:basedOn w:val="Normal"/>
    <w:rsid w:val="002A5D66"/>
    <w:pPr>
      <w:spacing w:line="312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66"/>
    <w:rPr>
      <w:rFonts w:ascii="Segoe UI" w:eastAsia="Calibri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2A5D66"/>
    <w:pPr>
      <w:spacing w:before="45" w:line="312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A5D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D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D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66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2A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D6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D6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A5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A5D6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A5D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5596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2018-04-12T08:06:00Z</dcterms:created>
  <dcterms:modified xsi:type="dcterms:W3CDTF">2018-04-12T08:06:00Z</dcterms:modified>
</cp:coreProperties>
</file>