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FA" w:rsidRPr="00BB0B94" w:rsidRDefault="006711FA" w:rsidP="006711FA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val="lv-LV" w:eastAsia="lv-LV"/>
        </w:rPr>
      </w:pPr>
      <w:r w:rsidRPr="00BB0B94">
        <w:rPr>
          <w:rFonts w:ascii="Cambria" w:eastAsia="Times New Roman" w:hAnsi="Cambria"/>
          <w:sz w:val="19"/>
          <w:szCs w:val="28"/>
          <w:lang w:val="lv-LV" w:eastAsia="lv-LV"/>
        </w:rPr>
        <w:t>1.</w:t>
      </w:r>
      <w:r w:rsidRPr="00BB0B94">
        <w:rPr>
          <w:rFonts w:ascii="Cambria" w:eastAsia="Times New Roman" w:hAnsi="Cambria"/>
          <w:sz w:val="19"/>
          <w:szCs w:val="28"/>
          <w:vertAlign w:val="superscript"/>
          <w:lang w:val="lv-LV" w:eastAsia="lv-LV"/>
        </w:rPr>
        <w:t>1 </w:t>
      </w:r>
      <w:r w:rsidRPr="00BB0B94">
        <w:rPr>
          <w:rFonts w:ascii="Cambria" w:eastAsia="Times New Roman" w:hAnsi="Cambria"/>
          <w:sz w:val="19"/>
          <w:szCs w:val="28"/>
          <w:lang w:val="lv-LV" w:eastAsia="lv-LV"/>
        </w:rPr>
        <w:t>pielikums</w:t>
      </w:r>
      <w:r>
        <w:rPr>
          <w:rFonts w:ascii="Cambria" w:eastAsia="Times New Roman" w:hAnsi="Cambria"/>
          <w:sz w:val="19"/>
          <w:szCs w:val="28"/>
          <w:lang w:val="lv-LV" w:eastAsia="lv-LV"/>
        </w:rPr>
        <w:br/>
      </w:r>
      <w:r w:rsidRPr="00BB0B94">
        <w:rPr>
          <w:rFonts w:ascii="Cambria" w:eastAsia="Times New Roman" w:hAnsi="Cambria"/>
          <w:sz w:val="19"/>
          <w:szCs w:val="28"/>
          <w:lang w:val="lv-LV"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val="lv-LV" w:eastAsia="lv-LV"/>
        </w:rPr>
        <w:br/>
      </w:r>
      <w:r w:rsidRPr="00BB0B94">
        <w:rPr>
          <w:rFonts w:ascii="Cambria" w:eastAsia="Times New Roman" w:hAnsi="Cambria"/>
          <w:sz w:val="19"/>
          <w:szCs w:val="28"/>
          <w:lang w:val="lv-LV" w:eastAsia="lv-LV"/>
        </w:rPr>
        <w:t xml:space="preserve">2018. gada 10. aprīļa </w:t>
      </w:r>
      <w:r>
        <w:rPr>
          <w:rFonts w:ascii="Cambria" w:eastAsia="Times New Roman" w:hAnsi="Cambria"/>
          <w:sz w:val="19"/>
          <w:szCs w:val="28"/>
          <w:lang w:val="lv-LV" w:eastAsia="lv-LV"/>
        </w:rPr>
        <w:br/>
      </w:r>
      <w:r w:rsidRPr="00BB0B94">
        <w:rPr>
          <w:rFonts w:ascii="Cambria" w:eastAsia="Times New Roman" w:hAnsi="Cambria"/>
          <w:sz w:val="19"/>
          <w:szCs w:val="28"/>
          <w:lang w:val="lv-LV" w:eastAsia="lv-LV"/>
        </w:rPr>
        <w:t>instrukcijai Nr. 2</w:t>
      </w:r>
    </w:p>
    <w:p w:rsidR="006711FA" w:rsidRPr="00672FD1" w:rsidRDefault="00672FD1" w:rsidP="006711FA">
      <w:pPr>
        <w:spacing w:before="130" w:line="260" w:lineRule="exact"/>
        <w:ind w:firstLine="539"/>
        <w:jc w:val="both"/>
        <w:rPr>
          <w:rFonts w:ascii="Cambria" w:eastAsia="Times New Roman" w:hAnsi="Cambria"/>
          <w:i/>
          <w:sz w:val="16"/>
          <w:szCs w:val="16"/>
          <w:lang w:val="lv-LV" w:eastAsia="lv-LV"/>
        </w:rPr>
      </w:pPr>
      <w:r w:rsidRPr="00672FD1">
        <w:rPr>
          <w:rFonts w:ascii="Cambria" w:hAnsi="Cambria"/>
          <w:i/>
          <w:sz w:val="16"/>
          <w:szCs w:val="16"/>
        </w:rPr>
        <w:t>(</w:t>
      </w:r>
      <w:proofErr w:type="spellStart"/>
      <w:r w:rsidRPr="00672FD1">
        <w:rPr>
          <w:rFonts w:ascii="Cambria" w:hAnsi="Cambria"/>
          <w:i/>
          <w:sz w:val="16"/>
          <w:szCs w:val="16"/>
        </w:rPr>
        <w:t>Pielikums</w:t>
      </w:r>
      <w:proofErr w:type="spellEnd"/>
      <w:r w:rsidRPr="00672FD1">
        <w:rPr>
          <w:rFonts w:ascii="Cambria" w:hAnsi="Cambria"/>
          <w:i/>
          <w:sz w:val="16"/>
          <w:szCs w:val="16"/>
        </w:rPr>
        <w:t xml:space="preserve"> MK 22.06.2021. </w:t>
      </w:r>
      <w:proofErr w:type="spellStart"/>
      <w:r w:rsidRPr="00672FD1">
        <w:rPr>
          <w:rFonts w:ascii="Cambria" w:hAnsi="Cambria"/>
          <w:i/>
          <w:sz w:val="16"/>
          <w:szCs w:val="16"/>
        </w:rPr>
        <w:t>instrukcijas</w:t>
      </w:r>
      <w:proofErr w:type="spellEnd"/>
      <w:r w:rsidRPr="00672FD1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672FD1">
        <w:rPr>
          <w:rFonts w:ascii="Cambria" w:hAnsi="Cambria"/>
          <w:i/>
          <w:sz w:val="16"/>
          <w:szCs w:val="16"/>
        </w:rPr>
        <w:t>Nr</w:t>
      </w:r>
      <w:proofErr w:type="spellEnd"/>
      <w:r w:rsidRPr="00672FD1">
        <w:rPr>
          <w:rFonts w:ascii="Cambria" w:hAnsi="Cambria"/>
          <w:i/>
          <w:sz w:val="16"/>
          <w:szCs w:val="16"/>
        </w:rPr>
        <w:t xml:space="preserve">. 3 </w:t>
      </w:r>
      <w:proofErr w:type="spellStart"/>
      <w:r w:rsidRPr="00672FD1">
        <w:rPr>
          <w:rFonts w:ascii="Cambria" w:hAnsi="Cambria"/>
          <w:i/>
          <w:sz w:val="16"/>
          <w:szCs w:val="16"/>
        </w:rPr>
        <w:t>redakcijā</w:t>
      </w:r>
      <w:proofErr w:type="spellEnd"/>
      <w:r w:rsidRPr="00672FD1">
        <w:rPr>
          <w:rFonts w:ascii="Cambria" w:hAnsi="Cambria"/>
          <w:i/>
          <w:sz w:val="16"/>
          <w:szCs w:val="16"/>
        </w:rPr>
        <w:t>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2"/>
        <w:gridCol w:w="8726"/>
      </w:tblGrid>
      <w:tr w:rsidR="006711FA" w:rsidRPr="008625A9" w:rsidTr="008E772D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:rsidR="006711FA" w:rsidRDefault="006711FA" w:rsidP="008E772D">
            <w:pPr>
              <w:jc w:val="both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  <w:p w:rsidR="00672FD1" w:rsidRPr="008625A9" w:rsidRDefault="00672FD1" w:rsidP="008E772D">
            <w:pPr>
              <w:jc w:val="both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  <w:bookmarkStart w:id="0" w:name="_GoBack"/>
            <w:bookmarkEnd w:id="0"/>
          </w:p>
        </w:tc>
        <w:tc>
          <w:tcPr>
            <w:tcW w:w="9098" w:type="dxa"/>
            <w:shd w:val="clear" w:color="auto" w:fill="auto"/>
          </w:tcPr>
          <w:p w:rsidR="006711FA" w:rsidRPr="008625A9" w:rsidRDefault="006711FA" w:rsidP="008E772D">
            <w:pPr>
              <w:jc w:val="both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</w:tc>
      </w:tr>
      <w:tr w:rsidR="006711FA" w:rsidRPr="008625A9" w:rsidTr="008E772D"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</w:tcPr>
          <w:p w:rsidR="006711FA" w:rsidRPr="008625A9" w:rsidRDefault="006711FA" w:rsidP="008E772D">
            <w:pPr>
              <w:jc w:val="center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8625A9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(ministrijas, citas centrālās valsts iestādes nosaukums)</w:t>
            </w:r>
          </w:p>
        </w:tc>
        <w:tc>
          <w:tcPr>
            <w:tcW w:w="9098" w:type="dxa"/>
            <w:shd w:val="clear" w:color="auto" w:fill="auto"/>
          </w:tcPr>
          <w:p w:rsidR="006711FA" w:rsidRPr="008625A9" w:rsidRDefault="006711FA" w:rsidP="008E772D">
            <w:pPr>
              <w:jc w:val="both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</w:tc>
      </w:tr>
    </w:tbl>
    <w:p w:rsidR="006711FA" w:rsidRDefault="006711FA" w:rsidP="006711FA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  <w:lang w:val="lv-LV"/>
        </w:rPr>
      </w:pPr>
    </w:p>
    <w:p w:rsidR="006711FA" w:rsidRPr="00BB0B94" w:rsidRDefault="006711FA" w:rsidP="006711FA">
      <w:pPr>
        <w:spacing w:before="130" w:line="260" w:lineRule="exact"/>
        <w:jc w:val="center"/>
        <w:rPr>
          <w:rFonts w:ascii="Cambria" w:hAnsi="Cambria"/>
          <w:b/>
          <w:sz w:val="19"/>
          <w:szCs w:val="28"/>
          <w:lang w:val="lv-LV"/>
        </w:rPr>
      </w:pPr>
      <w:r w:rsidRPr="00BB0B94">
        <w:rPr>
          <w:rFonts w:ascii="Cambria" w:hAnsi="Cambria"/>
          <w:b/>
          <w:sz w:val="19"/>
          <w:szCs w:val="28"/>
          <w:lang w:val="lv-LV"/>
        </w:rPr>
        <w:t>Paskaidrojums par valsts budžeta izpildi 20__. gada 12 mēnešos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val="lv-LV" w:eastAsia="lv-LV"/>
        </w:rPr>
      </w:pPr>
    </w:p>
    <w:p w:rsidR="006711FA" w:rsidRPr="00BB0B94" w:rsidRDefault="006711FA" w:rsidP="006711FA">
      <w:pPr>
        <w:spacing w:before="130" w:line="260" w:lineRule="exact"/>
        <w:jc w:val="both"/>
        <w:rPr>
          <w:rFonts w:ascii="Cambria" w:hAnsi="Cambria"/>
          <w:b/>
          <w:sz w:val="19"/>
          <w:szCs w:val="24"/>
          <w:lang w:val="lv-LV"/>
        </w:rPr>
      </w:pPr>
      <w:r w:rsidRPr="00BB0B94">
        <w:rPr>
          <w:rFonts w:ascii="Cambria" w:hAnsi="Cambria"/>
          <w:b/>
          <w:sz w:val="19"/>
          <w:szCs w:val="24"/>
          <w:lang w:val="lv-LV"/>
        </w:rPr>
        <w:t>Galvenie pārskata perioda pasākumi, kuriem ir novirzīti ministrijas izdevumi: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1)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2)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3)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24"/>
          <w:lang w:val="lv-LV"/>
        </w:rPr>
      </w:pPr>
    </w:p>
    <w:p w:rsidR="006711FA" w:rsidRPr="00BB0B94" w:rsidRDefault="006711FA" w:rsidP="006711FA">
      <w:pPr>
        <w:spacing w:before="130" w:line="260" w:lineRule="exact"/>
        <w:jc w:val="both"/>
        <w:rPr>
          <w:rFonts w:ascii="Cambria" w:hAnsi="Cambria"/>
          <w:b/>
          <w:sz w:val="19"/>
          <w:szCs w:val="24"/>
          <w:lang w:val="lv-LV"/>
        </w:rPr>
      </w:pPr>
      <w:r w:rsidRPr="00BB0B94">
        <w:rPr>
          <w:rFonts w:ascii="Cambria" w:hAnsi="Cambria"/>
          <w:b/>
          <w:sz w:val="19"/>
          <w:szCs w:val="24"/>
          <w:lang w:val="lv-LV"/>
        </w:rPr>
        <w:t>Galvenie pārskata perioda pasākumi, kuri ir ietekmējuši ministrijas izdevumu plāna neizpildi: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1)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2)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4"/>
          <w:lang w:val="lv-LV"/>
        </w:rPr>
      </w:pPr>
      <w:r w:rsidRPr="00BB0B94">
        <w:rPr>
          <w:rFonts w:ascii="Cambria" w:hAnsi="Cambria"/>
          <w:sz w:val="19"/>
          <w:szCs w:val="24"/>
          <w:lang w:val="lv-LV"/>
        </w:rPr>
        <w:t>3)</w:t>
      </w:r>
      <w:r w:rsidRPr="00BB0B94">
        <w:rPr>
          <w:rFonts w:ascii="Cambria" w:hAnsi="Cambria"/>
          <w:sz w:val="19"/>
          <w:szCs w:val="24"/>
          <w:lang w:val="lv-LV"/>
        </w:rPr>
        <w:tab/>
        <w:t>…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p w:rsidR="006711FA" w:rsidRPr="00BB0B94" w:rsidRDefault="006711FA" w:rsidP="006711FA">
      <w:pPr>
        <w:spacing w:before="130" w:line="260" w:lineRule="exact"/>
        <w:jc w:val="both"/>
        <w:rPr>
          <w:rFonts w:ascii="Cambria" w:hAnsi="Cambria"/>
          <w:b/>
          <w:bCs/>
          <w:sz w:val="19"/>
          <w:szCs w:val="24"/>
          <w:lang w:val="lv-LV"/>
        </w:rPr>
      </w:pPr>
      <w:r>
        <w:rPr>
          <w:rFonts w:ascii="Cambria" w:hAnsi="Cambria"/>
          <w:b/>
          <w:bCs/>
          <w:sz w:val="19"/>
          <w:szCs w:val="24"/>
          <w:lang w:val="lv-LV"/>
        </w:rPr>
        <w:br w:type="page"/>
      </w:r>
      <w:r w:rsidRPr="00BB0B94">
        <w:rPr>
          <w:rFonts w:ascii="Cambria" w:hAnsi="Cambria"/>
          <w:b/>
          <w:bCs/>
          <w:sz w:val="19"/>
          <w:szCs w:val="24"/>
          <w:lang w:val="lv-LV"/>
        </w:rPr>
        <w:lastRenderedPageBreak/>
        <w:t xml:space="preserve">I. Valsts pamatfunkciju īstenošana 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2"/>
        <w:gridCol w:w="6816"/>
      </w:tblGrid>
      <w:tr w:rsidR="006711FA" w:rsidRPr="00BB0B94" w:rsidTr="008E772D">
        <w:tc>
          <w:tcPr>
            <w:tcW w:w="14513" w:type="dxa"/>
            <w:gridSpan w:val="2"/>
            <w:shd w:val="clear" w:color="auto" w:fill="auto"/>
          </w:tcPr>
          <w:p w:rsidR="006711FA" w:rsidRDefault="006711FA" w:rsidP="008E772D">
            <w:pPr>
              <w:tabs>
                <w:tab w:val="left" w:pos="993"/>
              </w:tabs>
              <w:rPr>
                <w:rFonts w:ascii="Cambria" w:hAnsi="Cambria"/>
                <w:b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 xml:space="preserve">Programmas/apakšprogrammas kods un nosaukums: 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92"/>
            </w:tblGrid>
            <w:tr w:rsidR="006711FA" w:rsidRPr="008625A9" w:rsidTr="008E772D">
              <w:trPr>
                <w:trHeight w:val="227"/>
              </w:trPr>
              <w:tc>
                <w:tcPr>
                  <w:tcW w:w="14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11FA" w:rsidRPr="008625A9" w:rsidRDefault="006711FA" w:rsidP="008E772D">
                  <w:pPr>
                    <w:tabs>
                      <w:tab w:val="left" w:pos="993"/>
                    </w:tabs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</w:tbl>
          <w:p w:rsidR="006711FA" w:rsidRPr="00BB0B94" w:rsidRDefault="006711FA" w:rsidP="008E772D">
            <w:pPr>
              <w:tabs>
                <w:tab w:val="left" w:pos="13895"/>
                <w:tab w:val="left" w:pos="14075"/>
              </w:tabs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711FA" w:rsidRPr="00BB0B94" w:rsidTr="008E772D">
        <w:tc>
          <w:tcPr>
            <w:tcW w:w="14513" w:type="dxa"/>
            <w:gridSpan w:val="2"/>
            <w:shd w:val="clear" w:color="auto" w:fill="auto"/>
            <w:vAlign w:val="center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>Paveiktais</w:t>
            </w:r>
          </w:p>
        </w:tc>
      </w:tr>
      <w:tr w:rsidR="006711FA" w:rsidRPr="00BB0B94" w:rsidTr="008E772D">
        <w:tc>
          <w:tcPr>
            <w:tcW w:w="7424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1. Pārskata periodā paveiktais – pasākumi/aktivitātes (ieteicams līdz piecām vienībām), kas ir bijušas būtiskas ministrijas mērķu sasniegšanai un aptver būtisku daļu no kopējā pārskata periodā izlietotā finansējuma, uzsverot lietderību un ieguldījumu sabiedrības un nozares interesēs</w:t>
            </w:r>
          </w:p>
        </w:tc>
        <w:tc>
          <w:tcPr>
            <w:tcW w:w="7089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15.2.1.1. apakšpunktam</w:t>
            </w:r>
          </w:p>
        </w:tc>
      </w:tr>
      <w:tr w:rsidR="006711FA" w:rsidRPr="00BB0B94" w:rsidTr="008E772D">
        <w:tc>
          <w:tcPr>
            <w:tcW w:w="14513" w:type="dxa"/>
            <w:gridSpan w:val="2"/>
            <w:shd w:val="clear" w:color="auto" w:fill="auto"/>
            <w:vAlign w:val="center"/>
          </w:tcPr>
          <w:p w:rsidR="006711FA" w:rsidRPr="00BB0B94" w:rsidRDefault="006711FA" w:rsidP="008E772D">
            <w:pPr>
              <w:pStyle w:val="ListParagraph"/>
              <w:tabs>
                <w:tab w:val="left" w:pos="993"/>
              </w:tabs>
              <w:ind w:left="0"/>
              <w:contextualSpacing w:val="0"/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>Izmaiņas</w:t>
            </w:r>
          </w:p>
        </w:tc>
      </w:tr>
      <w:tr w:rsidR="006711FA" w:rsidRPr="00BB0B94" w:rsidTr="008E772D">
        <w:tc>
          <w:tcPr>
            <w:tcW w:w="7424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1. Pārskata perioda izpildes izmaiņas pret iepriekšējā gada atbilstošo pārskata perioda izpildi. Norāda pasākumus/aktivitātes (ieteicams līdz piecām vienībām) un iemeslus, kas veicinājuši šīs izmaiņas</w:t>
            </w:r>
          </w:p>
        </w:tc>
        <w:tc>
          <w:tcPr>
            <w:tcW w:w="7089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jc w:val="both"/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15.2.2.1. apakšpunktam</w:t>
            </w:r>
          </w:p>
        </w:tc>
      </w:tr>
      <w:tr w:rsidR="006711FA" w:rsidRPr="00BB0B94" w:rsidTr="008E772D">
        <w:tc>
          <w:tcPr>
            <w:tcW w:w="14513" w:type="dxa"/>
            <w:gridSpan w:val="2"/>
            <w:shd w:val="clear" w:color="auto" w:fill="auto"/>
          </w:tcPr>
          <w:p w:rsidR="006711FA" w:rsidRPr="00BB0B94" w:rsidDel="004F1B57" w:rsidRDefault="006711FA" w:rsidP="008E772D">
            <w:pPr>
              <w:tabs>
                <w:tab w:val="left" w:pos="993"/>
              </w:tabs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 xml:space="preserve">Neizpilde </w:t>
            </w:r>
          </w:p>
        </w:tc>
      </w:tr>
      <w:tr w:rsidR="006711FA" w:rsidRPr="00BB0B94" w:rsidTr="008E772D">
        <w:tc>
          <w:tcPr>
            <w:tcW w:w="7424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1. Kādi pasākumi/aktivitātes ir radījušas ietekmi uz neizpildi un kādi ir būtiskākie neizpildes iemesli (ja neizpildes iemesli ir saistīti ar apropriāciju izmaiņām, norāda attiecīgo Finanšu ministrijas rīkojumu numurus)</w:t>
            </w:r>
          </w:p>
        </w:tc>
        <w:tc>
          <w:tcPr>
            <w:tcW w:w="7089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15.2.3.1. apakšpunktam</w:t>
            </w:r>
          </w:p>
        </w:tc>
      </w:tr>
      <w:tr w:rsidR="006711FA" w:rsidRPr="00BB0B94" w:rsidTr="008E772D">
        <w:tc>
          <w:tcPr>
            <w:tcW w:w="7424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2. Kādi ir iemesli, kāpēc slēgtie asignējumi budžeta izpildes laikā netika pārvirzīti citiem mērķiem, kur finansējums ir bijis nepietiekams</w:t>
            </w:r>
          </w:p>
        </w:tc>
        <w:tc>
          <w:tcPr>
            <w:tcW w:w="7089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jc w:val="both"/>
              <w:rPr>
                <w:rFonts w:ascii="Cambria" w:hAnsi="Cambria"/>
                <w:b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15.2.3.5. apakšpunktam</w:t>
            </w:r>
          </w:p>
        </w:tc>
      </w:tr>
    </w:tbl>
    <w:p w:rsidR="006711FA" w:rsidRPr="00BB0B94" w:rsidRDefault="006711FA" w:rsidP="006711FA">
      <w:pPr>
        <w:tabs>
          <w:tab w:val="left" w:pos="993"/>
        </w:tabs>
        <w:spacing w:before="130" w:line="260" w:lineRule="exact"/>
        <w:ind w:firstLine="539"/>
        <w:rPr>
          <w:rFonts w:ascii="Cambria" w:hAnsi="Cambria"/>
          <w:bCs/>
          <w:sz w:val="19"/>
          <w:szCs w:val="24"/>
          <w:lang w:val="lv-LV"/>
        </w:rPr>
      </w:pPr>
    </w:p>
    <w:p w:rsidR="006711FA" w:rsidRPr="00BB0B94" w:rsidRDefault="006711FA" w:rsidP="006711FA">
      <w:pPr>
        <w:tabs>
          <w:tab w:val="left" w:pos="993"/>
        </w:tabs>
        <w:spacing w:before="130" w:line="260" w:lineRule="exact"/>
        <w:jc w:val="both"/>
        <w:rPr>
          <w:rFonts w:ascii="Cambria" w:hAnsi="Cambria"/>
          <w:b/>
          <w:sz w:val="19"/>
          <w:szCs w:val="24"/>
          <w:lang w:val="lv-LV"/>
        </w:rPr>
      </w:pPr>
      <w:r>
        <w:rPr>
          <w:rFonts w:ascii="Cambria" w:hAnsi="Cambria"/>
          <w:b/>
          <w:sz w:val="19"/>
          <w:szCs w:val="24"/>
          <w:lang w:val="lv-LV"/>
        </w:rPr>
        <w:br w:type="page"/>
      </w:r>
      <w:r w:rsidRPr="00BB0B94">
        <w:rPr>
          <w:rFonts w:ascii="Cambria" w:hAnsi="Cambria"/>
          <w:b/>
          <w:sz w:val="19"/>
          <w:szCs w:val="24"/>
          <w:lang w:val="lv-LV"/>
        </w:rPr>
        <w:lastRenderedPageBreak/>
        <w:t>II. Eiropas Savienības politiku instrumentu un pārējās ārvalstu finanšu palīdzības līdzfinansēto un finansēto projektu un pasākumu īstenošana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7"/>
        <w:gridCol w:w="6821"/>
      </w:tblGrid>
      <w:tr w:rsidR="006711FA" w:rsidRPr="00BB0B94" w:rsidTr="008E772D">
        <w:tc>
          <w:tcPr>
            <w:tcW w:w="14513" w:type="dxa"/>
            <w:gridSpan w:val="2"/>
            <w:shd w:val="clear" w:color="auto" w:fill="auto"/>
          </w:tcPr>
          <w:p w:rsidR="006711FA" w:rsidRDefault="006711FA" w:rsidP="008E772D">
            <w:pPr>
              <w:tabs>
                <w:tab w:val="left" w:pos="993"/>
              </w:tabs>
              <w:rPr>
                <w:rFonts w:ascii="Cambria" w:hAnsi="Cambria"/>
                <w:b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 xml:space="preserve">Programmas/apakšprogrammas kods un nosaukums: 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92"/>
            </w:tblGrid>
            <w:tr w:rsidR="006711FA" w:rsidRPr="008625A9" w:rsidTr="008E772D">
              <w:trPr>
                <w:trHeight w:val="227"/>
              </w:trPr>
              <w:tc>
                <w:tcPr>
                  <w:tcW w:w="14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11FA" w:rsidRPr="008625A9" w:rsidRDefault="006711FA" w:rsidP="008E772D">
                  <w:pPr>
                    <w:tabs>
                      <w:tab w:val="left" w:pos="993"/>
                    </w:tabs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</w:tbl>
          <w:p w:rsidR="006711FA" w:rsidRPr="00BB0B94" w:rsidRDefault="006711FA" w:rsidP="008E772D">
            <w:pPr>
              <w:tabs>
                <w:tab w:val="left" w:pos="13895"/>
                <w:tab w:val="left" w:pos="14075"/>
              </w:tabs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711FA" w:rsidRPr="00BB0B94" w:rsidTr="008E772D">
        <w:trPr>
          <w:cantSplit/>
        </w:trPr>
        <w:tc>
          <w:tcPr>
            <w:tcW w:w="14513" w:type="dxa"/>
            <w:gridSpan w:val="2"/>
            <w:shd w:val="clear" w:color="auto" w:fill="auto"/>
          </w:tcPr>
          <w:p w:rsidR="006711FA" w:rsidRPr="00BB0B94" w:rsidRDefault="006711FA" w:rsidP="008E772D">
            <w:pPr>
              <w:jc w:val="both"/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>Paveiktais</w:t>
            </w:r>
          </w:p>
        </w:tc>
      </w:tr>
      <w:tr w:rsidR="006711FA" w:rsidRPr="00BB0B94" w:rsidTr="008E772D">
        <w:trPr>
          <w:cantSplit/>
        </w:trPr>
        <w:tc>
          <w:tcPr>
            <w:tcW w:w="7412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1. Pārskata periodā paveiktais – specifiskā atbalsta mērķi/pasākumi/projekti (izvēlas apakšprogrammai atbilstošāko) (ieteicams līdz piecām vienībām), kas visuzskatāmāk sniedz informāciju par finansējuma izlietojumu, un apraksts par pārskata periodā tajos paveiktām darbībām/sasniegumiem (ieteicams līdz piecām vienībām katrā), aptverot būtisku daļu no kopējā pārskata periodā izlietotā finansējuma un uzsverot lietderību un ieguldījumu sabiedrības un nozares interesēs</w:t>
            </w:r>
          </w:p>
        </w:tc>
        <w:tc>
          <w:tcPr>
            <w:tcW w:w="7101" w:type="dxa"/>
            <w:shd w:val="clear" w:color="auto" w:fill="auto"/>
          </w:tcPr>
          <w:p w:rsidR="006711FA" w:rsidRPr="00BB0B94" w:rsidRDefault="006711FA" w:rsidP="008E772D">
            <w:pPr>
              <w:jc w:val="both"/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15.3.1. apakšpunktam</w:t>
            </w:r>
          </w:p>
        </w:tc>
      </w:tr>
      <w:tr w:rsidR="006711FA" w:rsidRPr="00BB0B94" w:rsidTr="008E772D">
        <w:trPr>
          <w:cantSplit/>
        </w:trPr>
        <w:tc>
          <w:tcPr>
            <w:tcW w:w="14513" w:type="dxa"/>
            <w:gridSpan w:val="2"/>
            <w:shd w:val="clear" w:color="auto" w:fill="auto"/>
            <w:vAlign w:val="center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b/>
                <w:sz w:val="19"/>
                <w:lang w:val="lv-LV"/>
              </w:rPr>
            </w:pPr>
            <w:r w:rsidRPr="00BB0B94">
              <w:rPr>
                <w:rFonts w:ascii="Cambria" w:hAnsi="Cambria"/>
                <w:b/>
                <w:sz w:val="19"/>
                <w:lang w:val="lv-LV"/>
              </w:rPr>
              <w:t>Neizpilde</w:t>
            </w:r>
          </w:p>
        </w:tc>
      </w:tr>
      <w:tr w:rsidR="006711FA" w:rsidRPr="00BB0B94" w:rsidTr="008E772D">
        <w:tc>
          <w:tcPr>
            <w:tcW w:w="7412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1. Kādi specifiskā atbalsta mērķi/pasākumi/projekti ir radījuši ietekmi uz neizpildi un kādi ir būtiskākie neizpildes iemesli</w:t>
            </w:r>
          </w:p>
        </w:tc>
        <w:tc>
          <w:tcPr>
            <w:tcW w:w="7101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15.3.2.1. apakšpunktam</w:t>
            </w:r>
          </w:p>
        </w:tc>
      </w:tr>
      <w:tr w:rsidR="006711FA" w:rsidRPr="00BB0B94" w:rsidTr="008E772D">
        <w:tc>
          <w:tcPr>
            <w:tcW w:w="7412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B0B94">
              <w:rPr>
                <w:rFonts w:ascii="Cambria" w:hAnsi="Cambria"/>
                <w:sz w:val="19"/>
                <w:lang w:val="lv-LV"/>
              </w:rPr>
              <w:t>2. Kādi ir iemesli, kāpēc slēgtie asignējumi budžeta izpildes laikā netika pārvirzīti citiem mērķiem, kur finansējums ir bijis nepietiekams</w:t>
            </w:r>
          </w:p>
        </w:tc>
        <w:tc>
          <w:tcPr>
            <w:tcW w:w="7101" w:type="dxa"/>
            <w:shd w:val="clear" w:color="auto" w:fill="auto"/>
          </w:tcPr>
          <w:p w:rsidR="006711FA" w:rsidRPr="00BB0B94" w:rsidRDefault="006711FA" w:rsidP="008E772D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19"/>
                <w:lang w:val="lv-LV"/>
              </w:rPr>
            </w:pPr>
            <w:r w:rsidRPr="00BB0B94">
              <w:rPr>
                <w:rFonts w:ascii="Cambria" w:hAnsi="Cambria"/>
                <w:i/>
                <w:sz w:val="19"/>
                <w:lang w:val="lv-LV"/>
              </w:rPr>
              <w:t>Iekļauj informāciju atbilstoši instrukcijas 15.3.2.4. apakšpunktam</w:t>
            </w:r>
          </w:p>
        </w:tc>
      </w:tr>
    </w:tbl>
    <w:p w:rsidR="006711FA" w:rsidRPr="00BB0B94" w:rsidRDefault="006711FA" w:rsidP="006711FA">
      <w:pPr>
        <w:tabs>
          <w:tab w:val="left" w:pos="993"/>
        </w:tabs>
        <w:spacing w:before="130" w:line="260" w:lineRule="exact"/>
        <w:ind w:firstLine="539"/>
        <w:rPr>
          <w:rFonts w:ascii="Cambria" w:hAnsi="Cambria"/>
          <w:bCs/>
          <w:sz w:val="19"/>
          <w:szCs w:val="24"/>
          <w:lang w:val="lv-LV"/>
        </w:rPr>
      </w:pPr>
    </w:p>
    <w:p w:rsidR="006711FA" w:rsidRPr="00BB0B94" w:rsidRDefault="006711FA" w:rsidP="006711FA">
      <w:pPr>
        <w:tabs>
          <w:tab w:val="left" w:pos="993"/>
        </w:tabs>
        <w:spacing w:before="130" w:line="260" w:lineRule="exact"/>
        <w:jc w:val="both"/>
        <w:rPr>
          <w:rFonts w:ascii="Cambria" w:hAnsi="Cambria"/>
          <w:b/>
          <w:sz w:val="19"/>
          <w:szCs w:val="24"/>
          <w:lang w:val="lv-LV"/>
        </w:rPr>
      </w:pPr>
      <w:r w:rsidRPr="00BB0B94">
        <w:rPr>
          <w:rFonts w:ascii="Cambria" w:hAnsi="Cambria"/>
          <w:b/>
          <w:sz w:val="19"/>
          <w:szCs w:val="24"/>
          <w:lang w:val="lv-LV"/>
        </w:rPr>
        <w:t>III. Citi jautājumi</w:t>
      </w:r>
    </w:p>
    <w:p w:rsidR="006711FA" w:rsidRPr="00BB0B94" w:rsidRDefault="006711FA" w:rsidP="006711F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7"/>
        <w:gridCol w:w="6841"/>
      </w:tblGrid>
      <w:tr w:rsidR="006711FA" w:rsidRPr="00BC0F2C" w:rsidTr="008E772D">
        <w:tc>
          <w:tcPr>
            <w:tcW w:w="7371" w:type="dxa"/>
            <w:shd w:val="clear" w:color="auto" w:fill="auto"/>
          </w:tcPr>
          <w:p w:rsidR="006711FA" w:rsidRPr="00BC0F2C" w:rsidRDefault="006711FA" w:rsidP="008E772D">
            <w:pPr>
              <w:tabs>
                <w:tab w:val="left" w:pos="993"/>
              </w:tabs>
              <w:rPr>
                <w:rFonts w:ascii="Cambria" w:hAnsi="Cambria"/>
                <w:sz w:val="19"/>
                <w:lang w:val="lv-LV"/>
              </w:rPr>
            </w:pPr>
            <w:r w:rsidRPr="00BC0F2C">
              <w:rPr>
                <w:rFonts w:ascii="Cambria" w:hAnsi="Cambria"/>
                <w:sz w:val="19"/>
                <w:lang w:val="lv-LV"/>
              </w:rPr>
              <w:t>1. Citi analītiskie skaidrojumi, tai skaitā atbildes uz Finanšu ministrijas papildu jautājumiem</w:t>
            </w:r>
          </w:p>
        </w:tc>
        <w:tc>
          <w:tcPr>
            <w:tcW w:w="7061" w:type="dxa"/>
            <w:shd w:val="clear" w:color="auto" w:fill="auto"/>
          </w:tcPr>
          <w:p w:rsidR="006711FA" w:rsidRPr="00BC0F2C" w:rsidRDefault="006711FA" w:rsidP="008E772D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BC0F2C">
              <w:rPr>
                <w:rFonts w:ascii="Cambria" w:hAnsi="Cambria"/>
                <w:i/>
                <w:sz w:val="19"/>
                <w:lang w:val="lv-LV"/>
              </w:rPr>
              <w:t>Iekļauj informāciju atbilstoši instrukcijas 15.4.4. apakšpunktam</w:t>
            </w:r>
          </w:p>
        </w:tc>
      </w:tr>
    </w:tbl>
    <w:p w:rsidR="00711EB7" w:rsidRDefault="00672FD1"/>
    <w:sectPr w:rsidR="00711EB7" w:rsidSect="006711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FA"/>
    <w:rsid w:val="000754BB"/>
    <w:rsid w:val="006711FA"/>
    <w:rsid w:val="00672FD1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4A88-AB8F-4AB8-B83E-C20D3E0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F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2</cp:revision>
  <dcterms:created xsi:type="dcterms:W3CDTF">2021-06-30T07:09:00Z</dcterms:created>
  <dcterms:modified xsi:type="dcterms:W3CDTF">2021-06-30T07:13:00Z</dcterms:modified>
</cp:coreProperties>
</file>