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97846" w14:textId="6F7F1FEE" w:rsidR="00971C1E" w:rsidRPr="00FA0CAD" w:rsidRDefault="00971C1E" w:rsidP="00A734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0CAD">
        <w:rPr>
          <w:rFonts w:ascii="Times New Roman" w:eastAsia="Times New Roman" w:hAnsi="Times New Roman" w:cs="Times New Roman"/>
          <w:sz w:val="24"/>
          <w:szCs w:val="24"/>
          <w:lang w:eastAsia="lv-LV"/>
        </w:rPr>
        <w:t>4. pielikums</w:t>
      </w:r>
    </w:p>
    <w:p w14:paraId="1537CE14" w14:textId="77777777" w:rsidR="00971C1E" w:rsidRPr="00FA0CAD" w:rsidRDefault="00971C1E" w:rsidP="00A734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0CAD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</w:t>
      </w:r>
    </w:p>
    <w:p w14:paraId="18E99508" w14:textId="59D849CA" w:rsidR="00971C1E" w:rsidRPr="00FA0CAD" w:rsidRDefault="00971C1E" w:rsidP="00A73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CAD">
        <w:rPr>
          <w:rFonts w:ascii="Times New Roman" w:hAnsi="Times New Roman" w:cs="Times New Roman"/>
          <w:sz w:val="24"/>
          <w:szCs w:val="24"/>
        </w:rPr>
        <w:t xml:space="preserve">2017. gada </w:t>
      </w:r>
      <w:r w:rsidR="00E20DBB" w:rsidRPr="00FA0CAD">
        <w:rPr>
          <w:rFonts w:ascii="Times New Roman" w:hAnsi="Times New Roman" w:cs="Times New Roman"/>
          <w:sz w:val="24"/>
          <w:szCs w:val="24"/>
        </w:rPr>
        <w:t>12. decembra</w:t>
      </w:r>
    </w:p>
    <w:p w14:paraId="54071D7C" w14:textId="54967E36" w:rsidR="00971C1E" w:rsidRPr="00FA0CAD" w:rsidRDefault="00971C1E" w:rsidP="00A73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0CAD">
        <w:rPr>
          <w:rFonts w:ascii="Times New Roman" w:hAnsi="Times New Roman" w:cs="Times New Roman"/>
          <w:sz w:val="24"/>
          <w:szCs w:val="24"/>
        </w:rPr>
        <w:t>noteikumiem Nr. </w:t>
      </w:r>
      <w:r w:rsidR="00E20DBB" w:rsidRPr="00FA0CAD">
        <w:rPr>
          <w:rFonts w:ascii="Times New Roman" w:hAnsi="Times New Roman" w:cs="Times New Roman"/>
          <w:sz w:val="24"/>
          <w:szCs w:val="24"/>
        </w:rPr>
        <w:t>737</w:t>
      </w:r>
    </w:p>
    <w:p w14:paraId="78C5B459" w14:textId="77777777" w:rsidR="004D3AA4" w:rsidRDefault="004D3AA4" w:rsidP="00A73425">
      <w:pPr>
        <w:pStyle w:val="doc-ti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3FF786EB" w14:textId="351288CA" w:rsidR="00790CF5" w:rsidRDefault="00EF53E4" w:rsidP="00A73425">
      <w:pPr>
        <w:pStyle w:val="doc-ti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790CF5">
        <w:rPr>
          <w:b/>
          <w:bCs/>
          <w:sz w:val="28"/>
          <w:szCs w:val="28"/>
        </w:rPr>
        <w:t xml:space="preserve">Formāts, kādā Latvijas Vides, ģeoloģijas un meteoroloģijas centrs un Centrālā </w:t>
      </w:r>
      <w:r w:rsidR="00E968EA">
        <w:rPr>
          <w:b/>
          <w:bCs/>
          <w:sz w:val="28"/>
          <w:szCs w:val="28"/>
        </w:rPr>
        <w:t>s</w:t>
      </w:r>
      <w:r w:rsidRPr="00790CF5">
        <w:rPr>
          <w:b/>
          <w:bCs/>
          <w:sz w:val="28"/>
          <w:szCs w:val="28"/>
        </w:rPr>
        <w:t xml:space="preserve">tatistikas pārvalde </w:t>
      </w:r>
      <w:r w:rsidR="00D45CAE">
        <w:rPr>
          <w:b/>
          <w:bCs/>
          <w:sz w:val="28"/>
          <w:szCs w:val="28"/>
        </w:rPr>
        <w:t>sagatavo informāciju</w:t>
      </w:r>
      <w:r w:rsidR="00D45CAE" w:rsidRPr="00790CF5">
        <w:rPr>
          <w:b/>
          <w:bCs/>
          <w:sz w:val="28"/>
          <w:szCs w:val="28"/>
        </w:rPr>
        <w:t xml:space="preserve"> </w:t>
      </w:r>
      <w:r w:rsidRPr="00790CF5">
        <w:rPr>
          <w:b/>
          <w:bCs/>
          <w:sz w:val="28"/>
          <w:szCs w:val="28"/>
        </w:rPr>
        <w:t xml:space="preserve">par enerģētikas </w:t>
      </w:r>
      <w:r w:rsidR="0041303B">
        <w:rPr>
          <w:b/>
          <w:bCs/>
          <w:sz w:val="28"/>
          <w:szCs w:val="28"/>
        </w:rPr>
        <w:t>sektora datu</w:t>
      </w:r>
      <w:r w:rsidRPr="00790CF5">
        <w:rPr>
          <w:b/>
          <w:bCs/>
          <w:sz w:val="28"/>
          <w:szCs w:val="28"/>
        </w:rPr>
        <w:t xml:space="preserve"> </w:t>
      </w:r>
      <w:r w:rsidR="0041303B" w:rsidRPr="00790CF5">
        <w:rPr>
          <w:b/>
          <w:bCs/>
          <w:sz w:val="28"/>
          <w:szCs w:val="28"/>
        </w:rPr>
        <w:t>saskaņu</w:t>
      </w:r>
    </w:p>
    <w:p w14:paraId="0B0CC37A" w14:textId="77777777" w:rsidR="00A73425" w:rsidRPr="00FA0CAD" w:rsidRDefault="00A73425" w:rsidP="00A73425">
      <w:pPr>
        <w:pStyle w:val="doc-ti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47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474"/>
        <w:gridCol w:w="2531"/>
        <w:gridCol w:w="2091"/>
        <w:gridCol w:w="2127"/>
        <w:gridCol w:w="1864"/>
        <w:gridCol w:w="1679"/>
        <w:gridCol w:w="1626"/>
      </w:tblGrid>
      <w:tr w:rsidR="00B96283" w:rsidRPr="00FA0CAD" w14:paraId="3FF786F4" w14:textId="77777777" w:rsidTr="00A73425">
        <w:trPr>
          <w:tblHeader/>
        </w:trPr>
        <w:tc>
          <w:tcPr>
            <w:tcW w:w="535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14:paraId="3FF786EC" w14:textId="77777777" w:rsidR="00790CF5" w:rsidRPr="00FA0CAD" w:rsidRDefault="00EF53E4" w:rsidP="00A7342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Cs/>
              </w:rPr>
            </w:pPr>
            <w:r w:rsidRPr="00FA0CAD">
              <w:rPr>
                <w:rStyle w:val="bold"/>
                <w:bCs/>
                <w:bdr w:val="none" w:sz="0" w:space="0" w:color="auto" w:frame="1"/>
              </w:rPr>
              <w:t>KURINĀMĀ VEIDI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14:paraId="3FF786ED" w14:textId="2EDDAC89" w:rsidR="00790CF5" w:rsidRPr="00FA0CAD" w:rsidRDefault="00EF53E4" w:rsidP="00A7342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rStyle w:val="bold"/>
                <w:bCs/>
                <w:bdr w:val="none" w:sz="0" w:space="0" w:color="auto" w:frame="1"/>
              </w:rPr>
            </w:pPr>
            <w:r w:rsidRPr="00FA0CAD">
              <w:rPr>
                <w:rStyle w:val="bold"/>
                <w:bCs/>
                <w:bdr w:val="none" w:sz="0" w:space="0" w:color="auto" w:frame="1"/>
              </w:rPr>
              <w:t xml:space="preserve">SEG inventarizācijā </w:t>
            </w:r>
            <w:r w:rsidR="00E968EA" w:rsidRPr="00FA0CAD">
              <w:rPr>
                <w:rStyle w:val="bold"/>
                <w:bCs/>
                <w:bdr w:val="none" w:sz="0" w:space="0" w:color="auto" w:frame="1"/>
              </w:rPr>
              <w:t>pa</w:t>
            </w:r>
            <w:r w:rsidRPr="00FA0CAD">
              <w:rPr>
                <w:rStyle w:val="bold"/>
                <w:bCs/>
                <w:bdr w:val="none" w:sz="0" w:space="0" w:color="auto" w:frame="1"/>
              </w:rPr>
              <w:t>ziņotais patēriņš</w:t>
            </w:r>
            <w:r w:rsidRPr="00FA0CAD">
              <w:rPr>
                <w:rStyle w:val="EndnoteReference"/>
                <w:bCs/>
                <w:bdr w:val="none" w:sz="0" w:space="0" w:color="auto" w:frame="1"/>
              </w:rPr>
              <w:endnoteReference w:id="1"/>
            </w:r>
          </w:p>
          <w:p w14:paraId="3FF786EE" w14:textId="77777777" w:rsidR="00790CF5" w:rsidRPr="00FA0CAD" w:rsidRDefault="00790CF5" w:rsidP="00A7342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14:paraId="3FF786EF" w14:textId="77777777" w:rsidR="00790CF5" w:rsidRPr="00FA0CAD" w:rsidRDefault="00EF53E4" w:rsidP="00A7342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Cs/>
              </w:rPr>
            </w:pPr>
            <w:r w:rsidRPr="00FA0CAD">
              <w:rPr>
                <w:rStyle w:val="bold"/>
                <w:bCs/>
                <w:bdr w:val="none" w:sz="0" w:space="0" w:color="auto" w:frame="1"/>
              </w:rPr>
              <w:t>Patēriņš, kas iegūts, izmantojot saskaņā ar Regulu (EK) Nr. 1099/2008 ziņotos datus</w:t>
            </w:r>
            <w:r w:rsidRPr="00FA0CAD">
              <w:rPr>
                <w:rStyle w:val="EndnoteReference"/>
                <w:bCs/>
              </w:rPr>
              <w:endnoteReference w:id="2"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14:paraId="3FF786F0" w14:textId="0560AC04" w:rsidR="00790CF5" w:rsidRPr="00FA0CAD" w:rsidRDefault="00EF53E4" w:rsidP="00A7342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Cs/>
              </w:rPr>
            </w:pPr>
            <w:r w:rsidRPr="00FA0CAD">
              <w:rPr>
                <w:rStyle w:val="bold"/>
                <w:bCs/>
                <w:bdr w:val="none" w:sz="0" w:space="0" w:color="auto" w:frame="1"/>
              </w:rPr>
              <w:t>Absolūtā star</w:t>
            </w:r>
            <w:r w:rsidR="00A73425" w:rsidRPr="00FA0CAD">
              <w:rPr>
                <w:rStyle w:val="bold"/>
                <w:bCs/>
                <w:bdr w:val="none" w:sz="0" w:space="0" w:color="auto" w:frame="1"/>
              </w:rPr>
              <w:softHyphen/>
            </w:r>
            <w:r w:rsidRPr="00FA0CAD">
              <w:rPr>
                <w:rStyle w:val="bold"/>
                <w:bCs/>
                <w:bdr w:val="none" w:sz="0" w:space="0" w:color="auto" w:frame="1"/>
              </w:rPr>
              <w:t>pība</w:t>
            </w:r>
            <w:r w:rsidRPr="00FA0CAD">
              <w:rPr>
                <w:rStyle w:val="EndnoteReference"/>
                <w:bCs/>
                <w:bdr w:val="none" w:sz="0" w:space="0" w:color="auto" w:frame="1"/>
              </w:rPr>
              <w:endnoteReference w:id="3"/>
            </w:r>
            <w:r w:rsidR="00650560" w:rsidRPr="00FA0CAD">
              <w:rPr>
                <w:rStyle w:val="bold"/>
                <w:bCs/>
                <w:bdr w:val="none" w:sz="0" w:space="0" w:color="auto" w:frame="1"/>
                <w:vertAlign w:val="superscript"/>
              </w:rPr>
              <w:t>,</w:t>
            </w:r>
            <w:hyperlink r:id="rId9" w:anchor="ntr1-L_2014203LV.01005101-E0001" w:history="1">
              <w:r w:rsidRPr="00FA0CAD">
                <w:rPr>
                  <w:rStyle w:val="Hyperlink"/>
                  <w:bCs/>
                  <w:color w:val="auto"/>
                  <w:u w:val="none"/>
                  <w:bdr w:val="none" w:sz="0" w:space="0" w:color="auto" w:frame="1"/>
                </w:rPr>
                <w:t> </w:t>
              </w:r>
              <w:r w:rsidRPr="00FA0CAD">
                <w:rPr>
                  <w:rStyle w:val="EndnoteReference"/>
                  <w:bCs/>
                  <w:bdr w:val="none" w:sz="0" w:space="0" w:color="auto" w:frame="1"/>
                </w:rPr>
                <w:endnoteReference w:id="4"/>
              </w:r>
            </w:hyperlink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14:paraId="3FF786F1" w14:textId="77777777" w:rsidR="00790CF5" w:rsidRPr="00FA0CAD" w:rsidRDefault="00EF53E4" w:rsidP="00A7342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Cs/>
              </w:rPr>
            </w:pPr>
            <w:r w:rsidRPr="00FA0CAD">
              <w:rPr>
                <w:rStyle w:val="bold"/>
                <w:bCs/>
                <w:bdr w:val="none" w:sz="0" w:space="0" w:color="auto" w:frame="1"/>
              </w:rPr>
              <w:t>Relatīvā starpība</w:t>
            </w:r>
            <w:r w:rsidRPr="00FA0CAD">
              <w:rPr>
                <w:rStyle w:val="EndnoteReference"/>
                <w:bCs/>
                <w:bdr w:val="none" w:sz="0" w:space="0" w:color="auto" w:frame="1"/>
              </w:rPr>
              <w:endnoteReference w:id="5"/>
            </w:r>
            <w:r w:rsidR="00650560" w:rsidRPr="00FA0CAD">
              <w:rPr>
                <w:rStyle w:val="bold"/>
                <w:bCs/>
                <w:bdr w:val="none" w:sz="0" w:space="0" w:color="auto" w:frame="1"/>
                <w:vertAlign w:val="superscript"/>
              </w:rPr>
              <w:t>,</w:t>
            </w:r>
            <w:r w:rsidR="00650560" w:rsidRPr="00FA0CAD">
              <w:rPr>
                <w:rStyle w:val="bold"/>
                <w:bCs/>
                <w:bdr w:val="none" w:sz="0" w:space="0" w:color="auto" w:frame="1"/>
              </w:rPr>
              <w:t xml:space="preserve"> </w:t>
            </w:r>
            <w:r w:rsidRPr="00FA0CAD">
              <w:rPr>
                <w:rStyle w:val="EndnoteReference"/>
                <w:bCs/>
                <w:bdr w:val="none" w:sz="0" w:space="0" w:color="auto" w:frame="1"/>
              </w:rPr>
              <w:endnoteReference w:id="6"/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14:paraId="3FF786F2" w14:textId="76287C4C" w:rsidR="00790CF5" w:rsidRPr="00FA0CAD" w:rsidRDefault="00EF53E4" w:rsidP="00A7342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rStyle w:val="bold"/>
                <w:bCs/>
                <w:bdr w:val="none" w:sz="0" w:space="0" w:color="auto" w:frame="1"/>
              </w:rPr>
            </w:pPr>
            <w:r w:rsidRPr="00FA0CAD">
              <w:rPr>
                <w:rStyle w:val="bold"/>
                <w:bCs/>
                <w:bdr w:val="none" w:sz="0" w:space="0" w:color="auto" w:frame="1"/>
              </w:rPr>
              <w:t>Starpību skaidro</w:t>
            </w:r>
            <w:r w:rsidR="00A73425" w:rsidRPr="00FA0CAD">
              <w:rPr>
                <w:rStyle w:val="bold"/>
                <w:bCs/>
                <w:bdr w:val="none" w:sz="0" w:space="0" w:color="auto" w:frame="1"/>
              </w:rPr>
              <w:softHyphen/>
            </w:r>
            <w:r w:rsidRPr="00FA0CAD">
              <w:rPr>
                <w:rStyle w:val="bold"/>
                <w:bCs/>
                <w:bdr w:val="none" w:sz="0" w:space="0" w:color="auto" w:frame="1"/>
              </w:rPr>
              <w:t>jumi</w:t>
            </w:r>
            <w:r w:rsidRPr="00FA0CAD">
              <w:rPr>
                <w:rStyle w:val="EndnoteReference"/>
                <w:bCs/>
                <w:bdr w:val="none" w:sz="0" w:space="0" w:color="auto" w:frame="1"/>
              </w:rPr>
              <w:endnoteReference w:id="7"/>
            </w:r>
          </w:p>
          <w:p w14:paraId="3FF786F3" w14:textId="77777777" w:rsidR="00790CF5" w:rsidRPr="00FA0CAD" w:rsidRDefault="00790CF5" w:rsidP="00A7342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Cs/>
              </w:rPr>
            </w:pPr>
          </w:p>
        </w:tc>
      </w:tr>
      <w:tr w:rsidR="00B96283" w:rsidRPr="00FA0CAD" w14:paraId="3FF786FB" w14:textId="77777777" w:rsidTr="00A73425">
        <w:trPr>
          <w:tblHeader/>
        </w:trPr>
        <w:tc>
          <w:tcPr>
            <w:tcW w:w="535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6F5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6F6" w14:textId="77777777" w:rsidR="00790CF5" w:rsidRPr="00FA0CAD" w:rsidRDefault="00EF53E4" w:rsidP="00BC007C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Cs/>
              </w:rPr>
            </w:pPr>
            <w:r w:rsidRPr="00FA0CAD">
              <w:rPr>
                <w:rStyle w:val="bold"/>
                <w:bCs/>
                <w:bdr w:val="none" w:sz="0" w:space="0" w:color="auto" w:frame="1"/>
              </w:rPr>
              <w:t>(TJ)</w:t>
            </w:r>
            <w:r w:rsidRPr="00FA0CAD">
              <w:rPr>
                <w:rStyle w:val="EndnoteReference"/>
                <w:bCs/>
                <w:bdr w:val="none" w:sz="0" w:space="0" w:color="auto" w:frame="1"/>
              </w:rPr>
              <w:endnoteReference w:id="8"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6F7" w14:textId="70A9406A" w:rsidR="00790CF5" w:rsidRPr="00FA0CAD" w:rsidRDefault="00EF53E4" w:rsidP="00BC007C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Cs/>
              </w:rPr>
            </w:pPr>
            <w:r w:rsidRPr="00FA0CAD">
              <w:rPr>
                <w:rStyle w:val="bold"/>
                <w:bCs/>
                <w:bdr w:val="none" w:sz="0" w:space="0" w:color="auto" w:frame="1"/>
              </w:rPr>
              <w:t>(TJ)</w:t>
            </w:r>
            <w:r w:rsidRPr="00FA0CAD">
              <w:rPr>
                <w:rStyle w:val="EndnoteReference"/>
                <w:bCs/>
                <w:bdr w:val="none" w:sz="0" w:space="0" w:color="auto" w:frame="1"/>
              </w:rPr>
              <w:endnoteReference w:id="9"/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6F8" w14:textId="28190DBB" w:rsidR="00790CF5" w:rsidRPr="00FA0CAD" w:rsidRDefault="00EF53E4" w:rsidP="00BC007C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Cs/>
              </w:rPr>
            </w:pPr>
            <w:r w:rsidRPr="00FA0CAD">
              <w:rPr>
                <w:rStyle w:val="bold"/>
                <w:bCs/>
                <w:bdr w:val="none" w:sz="0" w:space="0" w:color="auto" w:frame="1"/>
              </w:rPr>
              <w:t>(TJ)</w:t>
            </w:r>
            <w:r w:rsidRPr="00FA0CAD">
              <w:rPr>
                <w:rStyle w:val="EndnoteReference"/>
                <w:bCs/>
                <w:bdr w:val="none" w:sz="0" w:space="0" w:color="auto" w:frame="1"/>
              </w:rPr>
              <w:endnoteReference w:id="10"/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6F9" w14:textId="77777777" w:rsidR="00790CF5" w:rsidRPr="00FA0CAD" w:rsidRDefault="00EF53E4" w:rsidP="00BC007C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Cs/>
              </w:rPr>
            </w:pPr>
            <w:r w:rsidRPr="00FA0CAD">
              <w:rPr>
                <w:rStyle w:val="bold"/>
                <w:bCs/>
                <w:bdr w:val="none" w:sz="0" w:space="0" w:color="auto" w:frame="1"/>
              </w:rPr>
              <w:t>%</w:t>
            </w:r>
            <w:r w:rsidRPr="00FA0CAD">
              <w:rPr>
                <w:rStyle w:val="EndnoteReference"/>
                <w:bCs/>
                <w:bdr w:val="none" w:sz="0" w:space="0" w:color="auto" w:frame="1"/>
              </w:rPr>
              <w:endnoteReference w:id="11"/>
            </w:r>
          </w:p>
        </w:tc>
        <w:tc>
          <w:tcPr>
            <w:tcW w:w="1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786FA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6283" w:rsidRPr="00FA0CAD" w14:paraId="3FF78704" w14:textId="77777777" w:rsidTr="00A73425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6FC" w14:textId="77777777" w:rsidR="00790CF5" w:rsidRPr="00FA0CAD" w:rsidRDefault="00EF53E4" w:rsidP="00A73425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Šķidrais fosilais kurināmais</w:t>
            </w: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6FD" w14:textId="77777777" w:rsidR="00790CF5" w:rsidRPr="00FA0CAD" w:rsidRDefault="00EF53E4" w:rsidP="00A73425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Primārais kurināmais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6FE" w14:textId="77777777" w:rsidR="00790CF5" w:rsidRPr="00FA0CAD" w:rsidRDefault="00EF53E4" w:rsidP="00A73425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Jēlnafta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6FF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00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01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02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03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0D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05" w14:textId="77777777" w:rsidR="00790CF5" w:rsidRPr="00FA0CAD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06" w14:textId="77777777" w:rsidR="00790CF5" w:rsidRPr="00FA0CAD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07" w14:textId="77777777" w:rsidR="00790CF5" w:rsidRPr="00FA0CAD" w:rsidRDefault="00EF53E4" w:rsidP="00A73425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Orimulsija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08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09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0A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0B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0C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16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0E" w14:textId="77777777" w:rsidR="00790CF5" w:rsidRPr="00FA0CAD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0F" w14:textId="77777777" w:rsidR="00790CF5" w:rsidRPr="00FA0CAD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0" w14:textId="77777777" w:rsidR="00790CF5" w:rsidRPr="00FA0CAD" w:rsidRDefault="00EF53E4" w:rsidP="00A73425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Dabasgāzes šķidrumi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1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2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3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4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5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1F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17" w14:textId="77777777" w:rsidR="00790CF5" w:rsidRPr="00FA0CAD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8" w14:textId="77777777" w:rsidR="00790CF5" w:rsidRPr="00FA0CAD" w:rsidRDefault="00EF53E4" w:rsidP="00A73425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Sekundārais kurināmais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9" w14:textId="77777777" w:rsidR="00790CF5" w:rsidRPr="00FA0CAD" w:rsidRDefault="00EF53E4" w:rsidP="00A73425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Benzīns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A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B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C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D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1E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28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20" w14:textId="77777777" w:rsidR="00790CF5" w:rsidRPr="00FA0CAD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21" w14:textId="77777777" w:rsidR="00790CF5" w:rsidRPr="00FA0CAD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22" w14:textId="77777777" w:rsidR="00790CF5" w:rsidRPr="00FA0CAD" w:rsidRDefault="00EF53E4" w:rsidP="00A73425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Petrolejas tipa reaktīvo dzinēju degviela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23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24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25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26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27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31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29" w14:textId="77777777" w:rsidR="00790CF5" w:rsidRPr="00FA0CAD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2A" w14:textId="77777777" w:rsidR="00790CF5" w:rsidRPr="00FA0CAD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2B" w14:textId="77777777" w:rsidR="00790CF5" w:rsidRPr="00FA0CAD" w:rsidRDefault="00EF53E4" w:rsidP="00A73425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Citi petrolejas veidi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2C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2D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2E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2F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30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3A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32" w14:textId="77777777" w:rsidR="00790CF5" w:rsidRPr="00FA0CAD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33" w14:textId="77777777" w:rsidR="00790CF5" w:rsidRPr="00FA0CAD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34" w14:textId="77777777" w:rsidR="00790CF5" w:rsidRPr="00FA0CAD" w:rsidRDefault="00EF53E4" w:rsidP="00A73425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Degakmens eļļa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35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36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37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38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39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43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3B" w14:textId="77777777" w:rsidR="00790CF5" w:rsidRPr="00FA0CAD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7873C" w14:textId="77777777" w:rsidR="00790CF5" w:rsidRPr="00FA0CAD" w:rsidRDefault="00790CF5" w:rsidP="00A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3D" w14:textId="77777777" w:rsidR="00790CF5" w:rsidRPr="00FA0CAD" w:rsidRDefault="00EF53E4" w:rsidP="00A73425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Gāzeļļa/dīzeļdegviela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3E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3F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40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41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42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4C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44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45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46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Mazuts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47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48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49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4A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4B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55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4D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4E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4F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Sašķidrinātās naftas gāzes (</w:t>
            </w:r>
            <w:r w:rsidRPr="00FA0CAD">
              <w:rPr>
                <w:rStyle w:val="italic"/>
                <w:i/>
                <w:iCs/>
                <w:bdr w:val="none" w:sz="0" w:space="0" w:color="auto" w:frame="1"/>
              </w:rPr>
              <w:t>LPG</w:t>
            </w:r>
            <w:r w:rsidRPr="00FA0CAD">
              <w:t>)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50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51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52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53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54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5E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56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57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58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Etāns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59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5A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5B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5C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5D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67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5F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60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61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Jēlbenzīns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62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63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64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65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66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70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68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69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6A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Bitumens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6B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6C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6D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6E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6F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79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71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72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73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Smērvielas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74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75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76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77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78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82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7A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7B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7C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Naftas kokss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7D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7E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7F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80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81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8B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83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84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85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Naftas pārstrādes uzņēmumu izejvielas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86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87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88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89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8A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94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8C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8D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8E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Citi naftas produkti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8F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0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1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2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3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9B" w14:textId="77777777" w:rsidTr="00A73425">
        <w:tc>
          <w:tcPr>
            <w:tcW w:w="5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5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Cits šķidrais fosilais kurināmais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6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7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8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9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A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A2" w14:textId="77777777" w:rsidTr="00A73425">
        <w:tc>
          <w:tcPr>
            <w:tcW w:w="5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C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Šķidrais fosilais kurināmais kopā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D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E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9F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A0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A1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AB" w14:textId="77777777" w:rsidTr="00A73425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A3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Cietais fosilais kurināmais</w:t>
            </w: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A4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Primārais kurināmais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A5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Antracīts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A6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A7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A8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A9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AA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B4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AC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AD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AE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Koksējamās ogles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AF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B0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B1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B2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B3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BD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B5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B6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B7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Citas bitumenogles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B8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B9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BA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BB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BC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C6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BE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BF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C0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Pusbitumenogles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C1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C2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C3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C4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C5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CF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C7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C8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C9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Lignīts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CA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CB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CC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CD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CE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D8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D0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D1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D2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Degslāneklis un bitumensmiltis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D3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D4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D5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D6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D7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E1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D9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DA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Sekundārais kurināmais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DB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Brūnogļu briketes un akmeņogļu briketes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DC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DD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DE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DF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E0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EA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E2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E3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E4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Koksēšanas krāšņu kokss un gāzes kokss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E5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E6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E7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E8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E9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F3" w14:textId="77777777" w:rsidTr="00A73425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EB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F787EC" w14:textId="77777777" w:rsidR="00790CF5" w:rsidRPr="00FA0CAD" w:rsidRDefault="00790CF5" w:rsidP="00BC0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ED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Ogļu darva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EE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EF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0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1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2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7FA" w14:textId="77777777" w:rsidTr="00A73425">
        <w:tc>
          <w:tcPr>
            <w:tcW w:w="5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4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Cits cietais fosilais kurināmais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5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6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7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8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9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801" w14:textId="77777777" w:rsidTr="00A73425">
        <w:tc>
          <w:tcPr>
            <w:tcW w:w="5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B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Cietais fosilais kurināmais kopā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C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D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E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7FF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0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809" w14:textId="77777777" w:rsidTr="00A73425">
        <w:tc>
          <w:tcPr>
            <w:tcW w:w="2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2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Gāzveida fosilais kurināmais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3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Dabasgāze (metāns bez smago ogļūdeņražu piemaisījuma vai ar mazu smago ogļūdeņražu piemaisījumu)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4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5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6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7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8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811" w14:textId="77777777" w:rsidTr="00A73425">
        <w:tc>
          <w:tcPr>
            <w:tcW w:w="2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A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Cits gāzveida fosilais kurināmais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B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C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D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E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0F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0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819" w14:textId="77777777" w:rsidTr="00A73425">
        <w:tc>
          <w:tcPr>
            <w:tcW w:w="2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2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Gāzveida fosilais kurināmais kopā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3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4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5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6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7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8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820" w14:textId="77777777" w:rsidTr="00A73425">
        <w:tc>
          <w:tcPr>
            <w:tcW w:w="5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A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Atkritumi (</w:t>
            </w:r>
            <w:r w:rsidR="00040FCF" w:rsidRPr="00FA0CAD">
              <w:t xml:space="preserve">fosilā </w:t>
            </w:r>
            <w:r w:rsidRPr="00FA0CAD">
              <w:t>frakcija)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B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C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D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E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1F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828" w14:textId="77777777" w:rsidTr="00A73425">
        <w:tc>
          <w:tcPr>
            <w:tcW w:w="2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1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Cits fosilais kurināmais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2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3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4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5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6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7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831" w14:textId="77777777" w:rsidTr="00A73425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9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t>Kūdra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A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B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C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D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E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2F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30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  <w:tr w:rsidR="00B96283" w:rsidRPr="00FA0CAD" w14:paraId="3FF78838" w14:textId="77777777" w:rsidTr="00A73425">
        <w:tc>
          <w:tcPr>
            <w:tcW w:w="5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32" w14:textId="77777777" w:rsidR="00790CF5" w:rsidRPr="00FA0CAD" w:rsidRDefault="00EF53E4" w:rsidP="00BC007C">
            <w:pPr>
              <w:pStyle w:val="tbl-txt"/>
              <w:spacing w:before="0" w:beforeAutospacing="0" w:after="0" w:afterAutospacing="0"/>
              <w:textAlignment w:val="baseline"/>
            </w:pPr>
            <w:r w:rsidRPr="00FA0CAD">
              <w:rPr>
                <w:rStyle w:val="bold"/>
                <w:b/>
                <w:bCs/>
                <w:bdr w:val="none" w:sz="0" w:space="0" w:color="auto" w:frame="1"/>
              </w:rPr>
              <w:t>Kopā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33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34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35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36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F78837" w14:textId="77777777" w:rsidR="00790CF5" w:rsidRPr="00FA0CAD" w:rsidRDefault="00EF53E4" w:rsidP="00BC007C">
            <w:pPr>
              <w:pStyle w:val="Normal2"/>
              <w:spacing w:before="0" w:beforeAutospacing="0" w:after="0" w:afterAutospacing="0"/>
              <w:jc w:val="both"/>
              <w:textAlignment w:val="baseline"/>
            </w:pPr>
            <w:r w:rsidRPr="00FA0CAD">
              <w:t> </w:t>
            </w:r>
          </w:p>
        </w:tc>
      </w:tr>
    </w:tbl>
    <w:p w14:paraId="3FF78839" w14:textId="624E0C1D" w:rsidR="0087107C" w:rsidRDefault="00BC007C" w:rsidP="00790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0CAD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textWrapping" w:clear="all"/>
      </w:r>
      <w:bookmarkStart w:id="0" w:name="_GoBack"/>
      <w:bookmarkEnd w:id="0"/>
    </w:p>
    <w:p w14:paraId="3FF7883A" w14:textId="77777777" w:rsidR="0087107C" w:rsidRDefault="0087107C" w:rsidP="0079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F7883B" w14:textId="77777777" w:rsidR="002E6221" w:rsidRDefault="002E6221" w:rsidP="0079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E6221" w:rsidSect="004D3AA4">
          <w:headerReference w:type="default" r:id="rId10"/>
          <w:footerReference w:type="default" r:id="rId11"/>
          <w:footerReference w:type="first" r:id="rId12"/>
          <w:endnotePr>
            <w:numFmt w:val="decimal"/>
          </w:endnotePr>
          <w:pgSz w:w="16840" w:h="11907" w:orient="landscape" w:code="9"/>
          <w:pgMar w:top="1418" w:right="1418" w:bottom="1134" w:left="1134" w:header="709" w:footer="709" w:gutter="0"/>
          <w:cols w:space="708"/>
          <w:titlePg/>
          <w:docGrid w:linePitch="360"/>
        </w:sectPr>
      </w:pPr>
    </w:p>
    <w:p w14:paraId="4A92927D" w14:textId="77777777" w:rsidR="00971C1E" w:rsidRDefault="00971C1E" w:rsidP="00D8589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40AAE88" w14:textId="77777777" w:rsidR="00971C1E" w:rsidRPr="00347B25" w:rsidRDefault="00971C1E" w:rsidP="00D8589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971C1E" w:rsidRPr="00347B25" w:rsidSect="00971C1E">
      <w:endnotePr>
        <w:numFmt w:val="decimal"/>
      </w:endnotePr>
      <w:type w:val="continuous"/>
      <w:pgSz w:w="16840" w:h="11907" w:orient="landscape" w:code="9"/>
      <w:pgMar w:top="1418" w:right="1418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78852" w14:textId="77777777" w:rsidR="00EE2709" w:rsidRDefault="00EF53E4" w:rsidP="00790CF5">
      <w:pPr>
        <w:spacing w:after="0" w:line="240" w:lineRule="auto"/>
      </w:pPr>
      <w:r>
        <w:separator/>
      </w:r>
    </w:p>
  </w:endnote>
  <w:endnote w:type="continuationSeparator" w:id="0">
    <w:p w14:paraId="3FF78853" w14:textId="77777777" w:rsidR="00EE2709" w:rsidRDefault="00EF53E4" w:rsidP="00790CF5">
      <w:pPr>
        <w:spacing w:after="0" w:line="240" w:lineRule="auto"/>
      </w:pPr>
      <w:r>
        <w:continuationSeparator/>
      </w:r>
    </w:p>
  </w:endnote>
  <w:endnote w:id="1">
    <w:p w14:paraId="3FF7885B" w14:textId="31A6B699" w:rsidR="002E6221" w:rsidRPr="00FA0CAD" w:rsidRDefault="00EF53E4" w:rsidP="002E6221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A0CA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A0CAD">
        <w:rPr>
          <w:rFonts w:ascii="Times New Roman" w:hAnsi="Times New Roman" w:cs="Times New Roman"/>
          <w:sz w:val="24"/>
          <w:szCs w:val="24"/>
        </w:rPr>
        <w:t xml:space="preserve"> Aizpilda valsts sabiedrība ar ierobežotu atbil</w:t>
      </w:r>
      <w:r w:rsidR="00E968EA" w:rsidRPr="00FA0CAD">
        <w:rPr>
          <w:rFonts w:ascii="Times New Roman" w:hAnsi="Times New Roman" w:cs="Times New Roman"/>
          <w:sz w:val="24"/>
          <w:szCs w:val="24"/>
        </w:rPr>
        <w:t>d</w:t>
      </w:r>
      <w:r w:rsidRPr="00FA0CAD">
        <w:rPr>
          <w:rFonts w:ascii="Times New Roman" w:hAnsi="Times New Roman" w:cs="Times New Roman"/>
          <w:sz w:val="24"/>
          <w:szCs w:val="24"/>
        </w:rPr>
        <w:t xml:space="preserve">ību </w:t>
      </w:r>
      <w:r w:rsidR="004D3AA4" w:rsidRPr="00FA0CAD">
        <w:rPr>
          <w:rFonts w:ascii="Times New Roman" w:hAnsi="Times New Roman" w:cs="Times New Roman"/>
          <w:sz w:val="24"/>
          <w:szCs w:val="24"/>
        </w:rPr>
        <w:t>"</w:t>
      </w:r>
      <w:r w:rsidRPr="00FA0CAD">
        <w:rPr>
          <w:rFonts w:ascii="Times New Roman" w:hAnsi="Times New Roman" w:cs="Times New Roman"/>
          <w:sz w:val="24"/>
          <w:szCs w:val="24"/>
        </w:rPr>
        <w:t>Latvijas Vides, ģeoloģijas un meteoroloģijas centrs</w:t>
      </w:r>
      <w:r w:rsidR="004D3AA4" w:rsidRPr="00FA0CAD">
        <w:rPr>
          <w:rFonts w:ascii="Times New Roman" w:hAnsi="Times New Roman" w:cs="Times New Roman"/>
          <w:sz w:val="24"/>
          <w:szCs w:val="24"/>
        </w:rPr>
        <w:t>"</w:t>
      </w:r>
      <w:r w:rsidR="00A73425" w:rsidRPr="00FA0CAD">
        <w:rPr>
          <w:rFonts w:ascii="Times New Roman" w:hAnsi="Times New Roman" w:cs="Times New Roman"/>
          <w:sz w:val="24"/>
          <w:szCs w:val="24"/>
        </w:rPr>
        <w:t>.</w:t>
      </w:r>
    </w:p>
  </w:endnote>
  <w:endnote w:id="2">
    <w:p w14:paraId="3FF7885C" w14:textId="7EF1A02A" w:rsidR="00650560" w:rsidRPr="00FA0CAD" w:rsidRDefault="00EF53E4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A0CA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A0CAD">
        <w:rPr>
          <w:rFonts w:ascii="Times New Roman" w:hAnsi="Times New Roman" w:cs="Times New Roman"/>
          <w:sz w:val="24"/>
          <w:szCs w:val="24"/>
        </w:rPr>
        <w:t xml:space="preserve"> Aizpilda Centrālā </w:t>
      </w:r>
      <w:r w:rsidR="00C52388" w:rsidRPr="00FA0CAD">
        <w:rPr>
          <w:rFonts w:ascii="Times New Roman" w:hAnsi="Times New Roman" w:cs="Times New Roman"/>
          <w:sz w:val="24"/>
          <w:szCs w:val="24"/>
        </w:rPr>
        <w:t>s</w:t>
      </w:r>
      <w:r w:rsidRPr="00FA0CAD">
        <w:rPr>
          <w:rFonts w:ascii="Times New Roman" w:hAnsi="Times New Roman" w:cs="Times New Roman"/>
          <w:sz w:val="24"/>
          <w:szCs w:val="24"/>
        </w:rPr>
        <w:t>tatistikas pārvalde</w:t>
      </w:r>
      <w:r w:rsidR="00A73425" w:rsidRPr="00FA0CAD">
        <w:rPr>
          <w:rFonts w:ascii="Times New Roman" w:hAnsi="Times New Roman" w:cs="Times New Roman"/>
          <w:sz w:val="24"/>
          <w:szCs w:val="24"/>
        </w:rPr>
        <w:t>.</w:t>
      </w:r>
    </w:p>
  </w:endnote>
  <w:endnote w:id="3">
    <w:p w14:paraId="3FF7885D" w14:textId="77777777" w:rsidR="00650560" w:rsidRPr="00FA0CAD" w:rsidRDefault="00EF53E4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A0CA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A0CAD">
        <w:rPr>
          <w:rFonts w:ascii="Times New Roman" w:hAnsi="Times New Roman" w:cs="Times New Roman"/>
          <w:sz w:val="24"/>
          <w:szCs w:val="24"/>
        </w:rPr>
        <w:t xml:space="preserve"> </w:t>
      </w:r>
      <w:r w:rsidRPr="00FA0CAD">
        <w:rPr>
          <w:rFonts w:ascii="Times New Roman" w:eastAsia="Times New Roman" w:hAnsi="Times New Roman" w:cs="Times New Roman"/>
          <w:sz w:val="24"/>
          <w:szCs w:val="24"/>
          <w:lang w:eastAsia="lv-LV"/>
        </w:rPr>
        <w:t>SEG pārskatā paziņotais šķietamais patēriņš, no kura atskaitīts šķietamais patēriņš, kas iegūts, izmantojot saskaņā ar Regulu (EK) Nr. 1099/2008 ziņotos datus.</w:t>
      </w:r>
    </w:p>
  </w:endnote>
  <w:endnote w:id="4">
    <w:p w14:paraId="3FF7885E" w14:textId="50B3C313" w:rsidR="00650560" w:rsidRPr="00FA0CAD" w:rsidRDefault="00EF53E4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A0CA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A0CAD">
        <w:rPr>
          <w:rFonts w:ascii="Times New Roman" w:hAnsi="Times New Roman" w:cs="Times New Roman"/>
          <w:sz w:val="24"/>
          <w:szCs w:val="24"/>
        </w:rPr>
        <w:t xml:space="preserve"> Aizpilda valsts sabiedrība ar ierobežotu atbil</w:t>
      </w:r>
      <w:r w:rsidR="00E968EA" w:rsidRPr="00FA0CAD">
        <w:rPr>
          <w:rFonts w:ascii="Times New Roman" w:hAnsi="Times New Roman" w:cs="Times New Roman"/>
          <w:sz w:val="24"/>
          <w:szCs w:val="24"/>
        </w:rPr>
        <w:t>d</w:t>
      </w:r>
      <w:r w:rsidRPr="00FA0CAD">
        <w:rPr>
          <w:rFonts w:ascii="Times New Roman" w:hAnsi="Times New Roman" w:cs="Times New Roman"/>
          <w:sz w:val="24"/>
          <w:szCs w:val="24"/>
        </w:rPr>
        <w:t xml:space="preserve">ību </w:t>
      </w:r>
      <w:r w:rsidR="004D3AA4" w:rsidRPr="00FA0CAD">
        <w:rPr>
          <w:rFonts w:ascii="Times New Roman" w:hAnsi="Times New Roman" w:cs="Times New Roman"/>
          <w:sz w:val="24"/>
          <w:szCs w:val="24"/>
        </w:rPr>
        <w:t>"</w:t>
      </w:r>
      <w:r w:rsidRPr="00FA0CAD">
        <w:rPr>
          <w:rFonts w:ascii="Times New Roman" w:hAnsi="Times New Roman" w:cs="Times New Roman"/>
          <w:sz w:val="24"/>
          <w:szCs w:val="24"/>
        </w:rPr>
        <w:t>Latvijas Vides, ģeoloģijas un meteoroloģijas centrs</w:t>
      </w:r>
      <w:r w:rsidR="004D3AA4" w:rsidRPr="00FA0CAD">
        <w:rPr>
          <w:rFonts w:ascii="Times New Roman" w:hAnsi="Times New Roman" w:cs="Times New Roman"/>
          <w:sz w:val="24"/>
          <w:szCs w:val="24"/>
        </w:rPr>
        <w:t>"</w:t>
      </w:r>
      <w:r w:rsidR="00A73425" w:rsidRPr="00FA0CAD">
        <w:rPr>
          <w:rFonts w:ascii="Times New Roman" w:hAnsi="Times New Roman" w:cs="Times New Roman"/>
          <w:sz w:val="24"/>
          <w:szCs w:val="24"/>
        </w:rPr>
        <w:t>.</w:t>
      </w:r>
    </w:p>
  </w:endnote>
  <w:endnote w:id="5">
    <w:p w14:paraId="3FF7885F" w14:textId="2B48939C" w:rsidR="00650560" w:rsidRPr="00FA0CAD" w:rsidRDefault="00EF53E4" w:rsidP="00D45CAE">
      <w:pPr>
        <w:pStyle w:val="note"/>
        <w:shd w:val="clear" w:color="auto" w:fill="FFFFFF"/>
        <w:spacing w:before="0" w:beforeAutospacing="0" w:after="0" w:afterAutospacing="0"/>
        <w:jc w:val="both"/>
        <w:textAlignment w:val="baseline"/>
      </w:pPr>
      <w:r w:rsidRPr="00FA0CAD">
        <w:rPr>
          <w:rStyle w:val="EndnoteReference"/>
        </w:rPr>
        <w:endnoteRef/>
      </w:r>
      <w:r w:rsidRPr="00FA0CAD">
        <w:t xml:space="preserve"> Absolūtā starpība, kas dalīta ar SEG pārskatā </w:t>
      </w:r>
      <w:r w:rsidR="00A73425" w:rsidRPr="00FA0CAD">
        <w:t>norādīto</w:t>
      </w:r>
      <w:r w:rsidRPr="00FA0CAD">
        <w:t xml:space="preserve"> šķietamo patēriņu</w:t>
      </w:r>
      <w:r w:rsidR="00A73425" w:rsidRPr="00FA0CAD">
        <w:t>.</w:t>
      </w:r>
    </w:p>
  </w:endnote>
  <w:endnote w:id="6">
    <w:p w14:paraId="3FF78860" w14:textId="1152477F" w:rsidR="00650560" w:rsidRPr="00FA0CAD" w:rsidRDefault="00EF53E4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A0CA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A0CAD">
        <w:rPr>
          <w:rFonts w:ascii="Times New Roman" w:hAnsi="Times New Roman" w:cs="Times New Roman"/>
          <w:sz w:val="24"/>
          <w:szCs w:val="24"/>
        </w:rPr>
        <w:t xml:space="preserve"> Aizpilda valsts sabiedrība ar ierobežotu atbil</w:t>
      </w:r>
      <w:r w:rsidR="00E968EA" w:rsidRPr="00FA0CAD">
        <w:rPr>
          <w:rFonts w:ascii="Times New Roman" w:hAnsi="Times New Roman" w:cs="Times New Roman"/>
          <w:sz w:val="24"/>
          <w:szCs w:val="24"/>
        </w:rPr>
        <w:t>d</w:t>
      </w:r>
      <w:r w:rsidRPr="00FA0CAD">
        <w:rPr>
          <w:rFonts w:ascii="Times New Roman" w:hAnsi="Times New Roman" w:cs="Times New Roman"/>
          <w:sz w:val="24"/>
          <w:szCs w:val="24"/>
        </w:rPr>
        <w:t xml:space="preserve">ību </w:t>
      </w:r>
      <w:r w:rsidR="004D3AA4" w:rsidRPr="00FA0CAD">
        <w:rPr>
          <w:rFonts w:ascii="Times New Roman" w:hAnsi="Times New Roman" w:cs="Times New Roman"/>
          <w:sz w:val="24"/>
          <w:szCs w:val="24"/>
        </w:rPr>
        <w:t>"</w:t>
      </w:r>
      <w:r w:rsidRPr="00FA0CAD">
        <w:rPr>
          <w:rFonts w:ascii="Times New Roman" w:hAnsi="Times New Roman" w:cs="Times New Roman"/>
          <w:sz w:val="24"/>
          <w:szCs w:val="24"/>
        </w:rPr>
        <w:t>Latvijas Vides, ģeoloģijas un meteoroloģijas centrs</w:t>
      </w:r>
      <w:r w:rsidR="004D3AA4" w:rsidRPr="00FA0CAD">
        <w:rPr>
          <w:rFonts w:ascii="Times New Roman" w:hAnsi="Times New Roman" w:cs="Times New Roman"/>
          <w:sz w:val="24"/>
          <w:szCs w:val="24"/>
        </w:rPr>
        <w:t>"</w:t>
      </w:r>
      <w:r w:rsidR="00A73425" w:rsidRPr="00FA0CAD">
        <w:rPr>
          <w:rFonts w:ascii="Times New Roman" w:hAnsi="Times New Roman" w:cs="Times New Roman"/>
          <w:sz w:val="24"/>
          <w:szCs w:val="24"/>
        </w:rPr>
        <w:t>.</w:t>
      </w:r>
    </w:p>
  </w:endnote>
  <w:endnote w:id="7">
    <w:p w14:paraId="3FF78861" w14:textId="1DAD83EF" w:rsidR="00650560" w:rsidRPr="00FA0CAD" w:rsidRDefault="00EF53E4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A0CA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A0CAD">
        <w:rPr>
          <w:rFonts w:ascii="Times New Roman" w:hAnsi="Times New Roman" w:cs="Times New Roman"/>
          <w:sz w:val="24"/>
          <w:szCs w:val="24"/>
        </w:rPr>
        <w:t xml:space="preserve"> Aizpilda valsts sabiedrība ar ierobežotu atbil</w:t>
      </w:r>
      <w:r w:rsidR="00E968EA" w:rsidRPr="00FA0CAD">
        <w:rPr>
          <w:rFonts w:ascii="Times New Roman" w:hAnsi="Times New Roman" w:cs="Times New Roman"/>
          <w:sz w:val="24"/>
          <w:szCs w:val="24"/>
        </w:rPr>
        <w:t>d</w:t>
      </w:r>
      <w:r w:rsidRPr="00FA0CAD">
        <w:rPr>
          <w:rFonts w:ascii="Times New Roman" w:hAnsi="Times New Roman" w:cs="Times New Roman"/>
          <w:sz w:val="24"/>
          <w:szCs w:val="24"/>
        </w:rPr>
        <w:t xml:space="preserve">ību </w:t>
      </w:r>
      <w:r w:rsidR="004D3AA4" w:rsidRPr="00FA0CAD">
        <w:rPr>
          <w:rFonts w:ascii="Times New Roman" w:hAnsi="Times New Roman" w:cs="Times New Roman"/>
          <w:sz w:val="24"/>
          <w:szCs w:val="24"/>
        </w:rPr>
        <w:t>"</w:t>
      </w:r>
      <w:r w:rsidRPr="00FA0CAD">
        <w:rPr>
          <w:rFonts w:ascii="Times New Roman" w:hAnsi="Times New Roman" w:cs="Times New Roman"/>
          <w:sz w:val="24"/>
          <w:szCs w:val="24"/>
        </w:rPr>
        <w:t>Latvijas Vides, ģeoloģijas un meteoroloģijas centrs</w:t>
      </w:r>
      <w:r w:rsidR="004D3AA4" w:rsidRPr="00FA0CAD">
        <w:rPr>
          <w:rFonts w:ascii="Times New Roman" w:hAnsi="Times New Roman" w:cs="Times New Roman"/>
          <w:sz w:val="24"/>
          <w:szCs w:val="24"/>
        </w:rPr>
        <w:t>"</w:t>
      </w:r>
      <w:r w:rsidRPr="00FA0CAD">
        <w:rPr>
          <w:rFonts w:ascii="Times New Roman" w:hAnsi="Times New Roman" w:cs="Times New Roman"/>
          <w:sz w:val="24"/>
          <w:szCs w:val="24"/>
        </w:rPr>
        <w:t xml:space="preserve"> un Centrālā statistikas pārvalde</w:t>
      </w:r>
      <w:r w:rsidR="00A73425" w:rsidRPr="00FA0CAD">
        <w:rPr>
          <w:rFonts w:ascii="Times New Roman" w:hAnsi="Times New Roman" w:cs="Times New Roman"/>
          <w:sz w:val="24"/>
          <w:szCs w:val="24"/>
        </w:rPr>
        <w:t>.</w:t>
      </w:r>
    </w:p>
  </w:endnote>
  <w:endnote w:id="8">
    <w:p w14:paraId="3FF78862" w14:textId="77777777" w:rsidR="00650560" w:rsidRPr="00FA0CAD" w:rsidRDefault="00EF53E4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A0CA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A0CAD">
        <w:rPr>
          <w:rFonts w:ascii="Times New Roman" w:hAnsi="Times New Roman" w:cs="Times New Roman"/>
          <w:sz w:val="24"/>
          <w:szCs w:val="24"/>
        </w:rPr>
        <w:t xml:space="preserve"> </w:t>
      </w:r>
      <w:r w:rsidRPr="00FA0CAD">
        <w:rPr>
          <w:rFonts w:ascii="Times New Roman" w:eastAsia="Times New Roman" w:hAnsi="Times New Roman" w:cs="Times New Roman"/>
          <w:sz w:val="24"/>
          <w:szCs w:val="24"/>
          <w:lang w:eastAsia="lv-LV"/>
        </w:rPr>
        <w:t> kt un % vērtības jānorāda līdz vienam ciparam aiz komata.</w:t>
      </w:r>
    </w:p>
  </w:endnote>
  <w:endnote w:id="9">
    <w:p w14:paraId="3FF78863" w14:textId="77777777" w:rsidR="00650560" w:rsidRPr="00FA0CAD" w:rsidRDefault="00EF53E4" w:rsidP="0065056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A0CA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A0CAD">
        <w:rPr>
          <w:rFonts w:ascii="Times New Roman" w:hAnsi="Times New Roman" w:cs="Times New Roman"/>
          <w:sz w:val="24"/>
          <w:szCs w:val="24"/>
        </w:rPr>
        <w:t xml:space="preserve"> </w:t>
      </w:r>
      <w:r w:rsidRPr="00FA0CAD">
        <w:rPr>
          <w:rFonts w:ascii="Times New Roman" w:eastAsia="Times New Roman" w:hAnsi="Times New Roman" w:cs="Times New Roman"/>
          <w:sz w:val="24"/>
          <w:szCs w:val="24"/>
          <w:lang w:eastAsia="lv-LV"/>
        </w:rPr>
        <w:t> kt un % vērtības jānorāda līdz vienam ciparam aiz komata.</w:t>
      </w:r>
    </w:p>
  </w:endnote>
  <w:endnote w:id="10">
    <w:p w14:paraId="3FF78864" w14:textId="00C833E2" w:rsidR="00650560" w:rsidRPr="00FA0CAD" w:rsidRDefault="00EF53E4" w:rsidP="0065056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A0CA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A73425" w:rsidRPr="00FA0CAD">
        <w:rPr>
          <w:rFonts w:ascii="Times New Roman" w:hAnsi="Times New Roman" w:cs="Times New Roman"/>
          <w:sz w:val="24"/>
          <w:szCs w:val="24"/>
        </w:rPr>
        <w:t> </w:t>
      </w:r>
      <w:r w:rsidRPr="00FA0CAD">
        <w:rPr>
          <w:rFonts w:ascii="Times New Roman" w:eastAsia="Times New Roman" w:hAnsi="Times New Roman" w:cs="Times New Roman"/>
          <w:sz w:val="24"/>
          <w:szCs w:val="24"/>
          <w:lang w:eastAsia="lv-LV"/>
        </w:rPr>
        <w:t>kt un % vērtības jānorāda līdz vienam ciparam aiz komata.</w:t>
      </w:r>
    </w:p>
  </w:endnote>
  <w:endnote w:id="11">
    <w:p w14:paraId="3FF78865" w14:textId="5A9BEC42" w:rsidR="00650560" w:rsidRPr="00FA0CAD" w:rsidRDefault="00EF53E4" w:rsidP="0065056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A0CAD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A73425" w:rsidRPr="00FA0CAD">
        <w:rPr>
          <w:rFonts w:ascii="Times New Roman" w:hAnsi="Times New Roman" w:cs="Times New Roman"/>
          <w:sz w:val="24"/>
          <w:szCs w:val="24"/>
        </w:rPr>
        <w:t> </w:t>
      </w:r>
      <w:r w:rsidRPr="00FA0CAD">
        <w:rPr>
          <w:rFonts w:ascii="Times New Roman" w:eastAsia="Times New Roman" w:hAnsi="Times New Roman" w:cs="Times New Roman"/>
          <w:sz w:val="24"/>
          <w:szCs w:val="24"/>
          <w:lang w:eastAsia="lv-LV"/>
        </w:rPr>
        <w:t>kt un % vērtības jānorāda līdz vienam ciparam aiz komata.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82D4E" w14:textId="10FB173D" w:rsidR="002138FA" w:rsidRPr="002138FA" w:rsidRDefault="002138FA" w:rsidP="002138F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N2425_7p4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7885A" w14:textId="0293D799" w:rsidR="00650560" w:rsidRPr="002138FA" w:rsidRDefault="002138FA" w:rsidP="002138F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N2425_7p4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7885B" w14:textId="77777777" w:rsidR="00A7443A" w:rsidRDefault="00EF53E4">
      <w:pPr>
        <w:spacing w:after="0" w:line="240" w:lineRule="auto"/>
      </w:pPr>
      <w:r>
        <w:separator/>
      </w:r>
    </w:p>
  </w:footnote>
  <w:footnote w:type="continuationSeparator" w:id="0">
    <w:p w14:paraId="3FF7885D" w14:textId="77777777" w:rsidR="00A7443A" w:rsidRDefault="00EF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20145370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F78855" w14:textId="2BFFEB4E" w:rsidR="00650560" w:rsidRPr="00650560" w:rsidRDefault="00EF53E4">
        <w:pPr>
          <w:pStyle w:val="Header"/>
          <w:jc w:val="center"/>
          <w:rPr>
            <w:rFonts w:ascii="Times New Roman" w:hAnsi="Times New Roman"/>
            <w:sz w:val="24"/>
          </w:rPr>
        </w:pPr>
        <w:r w:rsidRPr="00650560">
          <w:rPr>
            <w:rFonts w:ascii="Times New Roman" w:hAnsi="Times New Roman"/>
            <w:sz w:val="24"/>
          </w:rPr>
          <w:fldChar w:fldCharType="begin"/>
        </w:r>
        <w:r w:rsidRPr="00650560">
          <w:rPr>
            <w:rFonts w:ascii="Times New Roman" w:hAnsi="Times New Roman"/>
            <w:sz w:val="24"/>
          </w:rPr>
          <w:instrText xml:space="preserve"> PAGE   \* MERGEFORMAT </w:instrText>
        </w:r>
        <w:r w:rsidRPr="00650560">
          <w:rPr>
            <w:rFonts w:ascii="Times New Roman" w:hAnsi="Times New Roman"/>
            <w:sz w:val="24"/>
          </w:rPr>
          <w:fldChar w:fldCharType="separate"/>
        </w:r>
        <w:r w:rsidR="00FA0CAD">
          <w:rPr>
            <w:rFonts w:ascii="Times New Roman" w:hAnsi="Times New Roman"/>
            <w:noProof/>
            <w:sz w:val="24"/>
          </w:rPr>
          <w:t>3</w:t>
        </w:r>
        <w:r w:rsidRPr="00650560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180C"/>
    <w:multiLevelType w:val="hybridMultilevel"/>
    <w:tmpl w:val="8F3EBF0A"/>
    <w:lvl w:ilvl="0" w:tplc="420E5F26">
      <w:start w:val="10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899A40DE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1564DF10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D2642E6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DEC817EA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C6DCA2BA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3C70E972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66E609D6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CDD88980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F5"/>
    <w:rsid w:val="00007638"/>
    <w:rsid w:val="00040FCF"/>
    <w:rsid w:val="00042D8C"/>
    <w:rsid w:val="0008033F"/>
    <w:rsid w:val="000A274A"/>
    <w:rsid w:val="000C6DE8"/>
    <w:rsid w:val="000E0525"/>
    <w:rsid w:val="000E1CDC"/>
    <w:rsid w:val="000E2E6A"/>
    <w:rsid w:val="00114451"/>
    <w:rsid w:val="00134AEF"/>
    <w:rsid w:val="0014203E"/>
    <w:rsid w:val="001D0357"/>
    <w:rsid w:val="001E3ABA"/>
    <w:rsid w:val="002138FA"/>
    <w:rsid w:val="00242D6E"/>
    <w:rsid w:val="0028485D"/>
    <w:rsid w:val="002E6221"/>
    <w:rsid w:val="00332907"/>
    <w:rsid w:val="00341FC1"/>
    <w:rsid w:val="00350DDA"/>
    <w:rsid w:val="00353AA8"/>
    <w:rsid w:val="00355982"/>
    <w:rsid w:val="00356293"/>
    <w:rsid w:val="003F22BB"/>
    <w:rsid w:val="0041303B"/>
    <w:rsid w:val="00474A5F"/>
    <w:rsid w:val="0049725B"/>
    <w:rsid w:val="004D20E5"/>
    <w:rsid w:val="004D2B25"/>
    <w:rsid w:val="004D3AA4"/>
    <w:rsid w:val="004E6E8D"/>
    <w:rsid w:val="00506F7E"/>
    <w:rsid w:val="00552D88"/>
    <w:rsid w:val="00572530"/>
    <w:rsid w:val="00594858"/>
    <w:rsid w:val="0061004C"/>
    <w:rsid w:val="006238C1"/>
    <w:rsid w:val="00650560"/>
    <w:rsid w:val="00671804"/>
    <w:rsid w:val="0068189C"/>
    <w:rsid w:val="006922EE"/>
    <w:rsid w:val="00695FC6"/>
    <w:rsid w:val="00696F3B"/>
    <w:rsid w:val="006C1148"/>
    <w:rsid w:val="006C134A"/>
    <w:rsid w:val="006E42F3"/>
    <w:rsid w:val="007652AB"/>
    <w:rsid w:val="007803BD"/>
    <w:rsid w:val="00780FBE"/>
    <w:rsid w:val="00790CF5"/>
    <w:rsid w:val="007D5085"/>
    <w:rsid w:val="007F623A"/>
    <w:rsid w:val="00820E25"/>
    <w:rsid w:val="00823509"/>
    <w:rsid w:val="0087107C"/>
    <w:rsid w:val="008844E0"/>
    <w:rsid w:val="008A31F7"/>
    <w:rsid w:val="008E232E"/>
    <w:rsid w:val="008E28F9"/>
    <w:rsid w:val="00916498"/>
    <w:rsid w:val="009175E0"/>
    <w:rsid w:val="00921894"/>
    <w:rsid w:val="00950E9C"/>
    <w:rsid w:val="00971C1E"/>
    <w:rsid w:val="00976676"/>
    <w:rsid w:val="009957C9"/>
    <w:rsid w:val="009B418B"/>
    <w:rsid w:val="00A24C14"/>
    <w:rsid w:val="00A36498"/>
    <w:rsid w:val="00A616ED"/>
    <w:rsid w:val="00A73425"/>
    <w:rsid w:val="00A7443A"/>
    <w:rsid w:val="00A77CA1"/>
    <w:rsid w:val="00A85A83"/>
    <w:rsid w:val="00AA0A2B"/>
    <w:rsid w:val="00B1349B"/>
    <w:rsid w:val="00B50721"/>
    <w:rsid w:val="00B865E5"/>
    <w:rsid w:val="00B93D7C"/>
    <w:rsid w:val="00B96283"/>
    <w:rsid w:val="00BC007C"/>
    <w:rsid w:val="00BF0AB7"/>
    <w:rsid w:val="00C2097D"/>
    <w:rsid w:val="00C52388"/>
    <w:rsid w:val="00C607A0"/>
    <w:rsid w:val="00C702D5"/>
    <w:rsid w:val="00C960B4"/>
    <w:rsid w:val="00CB44EF"/>
    <w:rsid w:val="00CB6247"/>
    <w:rsid w:val="00CF4D87"/>
    <w:rsid w:val="00D028DD"/>
    <w:rsid w:val="00D11054"/>
    <w:rsid w:val="00D45CAE"/>
    <w:rsid w:val="00D46C75"/>
    <w:rsid w:val="00D63D2C"/>
    <w:rsid w:val="00DF6D3C"/>
    <w:rsid w:val="00E20DBB"/>
    <w:rsid w:val="00E22405"/>
    <w:rsid w:val="00E41AAD"/>
    <w:rsid w:val="00E968EA"/>
    <w:rsid w:val="00EA0832"/>
    <w:rsid w:val="00EA75A8"/>
    <w:rsid w:val="00EC4F02"/>
    <w:rsid w:val="00EE2709"/>
    <w:rsid w:val="00EF3DC4"/>
    <w:rsid w:val="00EF53E4"/>
    <w:rsid w:val="00F03349"/>
    <w:rsid w:val="00F25178"/>
    <w:rsid w:val="00F712A6"/>
    <w:rsid w:val="00F90556"/>
    <w:rsid w:val="00FA0CAD"/>
    <w:rsid w:val="00FB4F13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F78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F5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0CF5"/>
  </w:style>
  <w:style w:type="character" w:styleId="Hyperlink">
    <w:name w:val="Hyperlink"/>
    <w:basedOn w:val="DefaultParagraphFont"/>
    <w:uiPriority w:val="99"/>
    <w:unhideWhenUsed/>
    <w:rsid w:val="00790CF5"/>
    <w:rPr>
      <w:color w:val="0000FF"/>
      <w:u w:val="single"/>
    </w:rPr>
  </w:style>
  <w:style w:type="paragraph" w:customStyle="1" w:styleId="doc-ti">
    <w:name w:val="doc-ti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790CF5"/>
  </w:style>
  <w:style w:type="character" w:customStyle="1" w:styleId="super">
    <w:name w:val="super"/>
    <w:basedOn w:val="DefaultParagraphFont"/>
    <w:rsid w:val="00790CF5"/>
  </w:style>
  <w:style w:type="paragraph" w:customStyle="1" w:styleId="tbl-hdr">
    <w:name w:val="tbl-hdr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790CF5"/>
  </w:style>
  <w:style w:type="paragraph" w:customStyle="1" w:styleId="tbl-txt">
    <w:name w:val="tbl-txt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te">
    <w:name w:val="note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2">
    <w:name w:val="Normal2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9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F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9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F5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0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560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560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60"/>
    <w:rPr>
      <w:rFonts w:ascii="Tahoma" w:hAnsi="Tahoma" w:cs="Tahoma"/>
      <w:sz w:val="16"/>
      <w:szCs w:val="16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05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560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5056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05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0560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650560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87107C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107C"/>
    <w:rPr>
      <w:rFonts w:ascii="Calibri" w:eastAsia="Times New Roman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EA0832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F5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0CF5"/>
  </w:style>
  <w:style w:type="character" w:styleId="Hyperlink">
    <w:name w:val="Hyperlink"/>
    <w:basedOn w:val="DefaultParagraphFont"/>
    <w:uiPriority w:val="99"/>
    <w:unhideWhenUsed/>
    <w:rsid w:val="00790CF5"/>
    <w:rPr>
      <w:color w:val="0000FF"/>
      <w:u w:val="single"/>
    </w:rPr>
  </w:style>
  <w:style w:type="paragraph" w:customStyle="1" w:styleId="doc-ti">
    <w:name w:val="doc-ti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790CF5"/>
  </w:style>
  <w:style w:type="character" w:customStyle="1" w:styleId="super">
    <w:name w:val="super"/>
    <w:basedOn w:val="DefaultParagraphFont"/>
    <w:rsid w:val="00790CF5"/>
  </w:style>
  <w:style w:type="paragraph" w:customStyle="1" w:styleId="tbl-hdr">
    <w:name w:val="tbl-hdr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790CF5"/>
  </w:style>
  <w:style w:type="paragraph" w:customStyle="1" w:styleId="tbl-txt">
    <w:name w:val="tbl-txt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te">
    <w:name w:val="note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2">
    <w:name w:val="Normal2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9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F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9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F5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0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560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560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60"/>
    <w:rPr>
      <w:rFonts w:ascii="Tahoma" w:hAnsi="Tahoma" w:cs="Tahoma"/>
      <w:sz w:val="16"/>
      <w:szCs w:val="16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05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560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5056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05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0560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650560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87107C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107C"/>
    <w:rPr>
      <w:rFonts w:ascii="Calibri" w:eastAsia="Times New Roman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EA0832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LV/TXT/?uri=CELEX:32014R07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04C1-3D03-407E-80BB-42DA8985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 Ministru kabineta noteikumu projektam “Noteikumi par siltumnīcefekta gāzu inventarizācijas un prognožu sagatavošanas nacionālo sistēmu”.</vt:lpstr>
    </vt:vector>
  </TitlesOfParts>
  <Company>Vides aizsardzības un reģionālās attīstības ministrija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Ministru kabineta noteikumu projektam “Noteikumi par siltumnīcefekta gāzu inventarizācijas un prognožu sagatavošanas nacionālo sistēmu”.</dc:title>
  <dc:subject>Noteikumu projekta pielikums</dc:subject>
  <dc:creator>Agita.Gancone@varam.gov.lv</dc:creator>
  <dc:description>67026495, agita.gaancone@varam.gov.lv</dc:description>
  <cp:lastModifiedBy>vija.skutane</cp:lastModifiedBy>
  <cp:revision>2</cp:revision>
  <cp:lastPrinted>2017-12-11T08:20:00Z</cp:lastPrinted>
  <dcterms:created xsi:type="dcterms:W3CDTF">2017-12-15T11:00:00Z</dcterms:created>
  <dcterms:modified xsi:type="dcterms:W3CDTF">2017-12-15T11:00:00Z</dcterms:modified>
</cp:coreProperties>
</file>