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3" w:rsidRDefault="005F1C23" w:rsidP="005F1C23">
      <w:pPr>
        <w:tabs>
          <w:tab w:val="left" w:pos="7230"/>
          <w:tab w:val="right" w:pos="9072"/>
        </w:tabs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A106CE">
        <w:rPr>
          <w:rFonts w:ascii="Cambria" w:hAnsi="Cambria"/>
          <w:sz w:val="19"/>
        </w:rPr>
        <w:t>5. pielikums</w:t>
      </w:r>
      <w:r>
        <w:rPr>
          <w:rFonts w:ascii="Cambria" w:hAnsi="Cambria"/>
          <w:sz w:val="19"/>
        </w:rPr>
        <w:br/>
      </w:r>
      <w:r w:rsidRPr="00A106CE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</w:r>
      <w:r w:rsidRPr="00A106CE">
        <w:rPr>
          <w:rFonts w:ascii="Cambria" w:hAnsi="Cambria"/>
          <w:sz w:val="19"/>
        </w:rPr>
        <w:t>2017. gada 28. februāra</w:t>
      </w:r>
      <w:r>
        <w:rPr>
          <w:rFonts w:ascii="Cambria" w:hAnsi="Cambria"/>
          <w:sz w:val="19"/>
        </w:rPr>
        <w:br/>
      </w:r>
      <w:r w:rsidRPr="00A106CE">
        <w:rPr>
          <w:rFonts w:ascii="Cambria" w:hAnsi="Cambria"/>
          <w:sz w:val="19"/>
        </w:rPr>
        <w:t>noteikumiem Nr. 102</w:t>
      </w:r>
    </w:p>
    <w:p w:rsidR="005F1C23" w:rsidRPr="005F1C23" w:rsidRDefault="005F1C23" w:rsidP="005F1C23">
      <w:pPr>
        <w:tabs>
          <w:tab w:val="left" w:pos="7230"/>
          <w:tab w:val="right" w:pos="9072"/>
        </w:tabs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5F1C23">
        <w:rPr>
          <w:rFonts w:asciiTheme="majorHAnsi" w:hAnsiTheme="majorHAnsi"/>
          <w:i/>
          <w:sz w:val="18"/>
          <w:szCs w:val="18"/>
        </w:rPr>
        <w:t>(Pielikums MK 03.05.2017. noteikumu Nr. 245 redakcijā)</w:t>
      </w:r>
    </w:p>
    <w:p w:rsidR="005F1C23" w:rsidRDefault="005F1C23" w:rsidP="005F1C23">
      <w:pPr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28"/>
        </w:rPr>
      </w:pPr>
    </w:p>
    <w:p w:rsidR="005F1C23" w:rsidRPr="00A106CE" w:rsidRDefault="005F1C23" w:rsidP="005F1C23">
      <w:pPr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28"/>
        </w:rPr>
      </w:pPr>
      <w:r w:rsidRPr="00A106CE">
        <w:rPr>
          <w:rFonts w:ascii="Cambria" w:hAnsi="Cambria"/>
          <w:b/>
          <w:sz w:val="19"/>
          <w:szCs w:val="28"/>
        </w:rPr>
        <w:t>5 – PPPL</w:t>
      </w:r>
    </w:p>
    <w:p w:rsidR="005F1C23" w:rsidRPr="005F1C23" w:rsidRDefault="005F1C23" w:rsidP="005F1C23">
      <w:pPr>
        <w:pBdr>
          <w:top w:val="double" w:sz="4" w:space="1" w:color="auto"/>
        </w:pBdr>
        <w:spacing w:before="130" w:line="260" w:lineRule="exact"/>
        <w:jc w:val="center"/>
        <w:rPr>
          <w:rFonts w:ascii="Cambria" w:hAnsi="Cambria"/>
          <w:b/>
          <w:szCs w:val="24"/>
        </w:rPr>
      </w:pPr>
      <w:r w:rsidRPr="005F1C23">
        <w:rPr>
          <w:rFonts w:ascii="Cambria" w:eastAsia="Times New Roman" w:hAnsi="Cambria"/>
          <w:b/>
          <w:bCs/>
          <w:szCs w:val="24"/>
        </w:rPr>
        <w:t xml:space="preserve">Pārskats par koncesijas līgumiem </w:t>
      </w:r>
      <w:r w:rsidRPr="005F1C23">
        <w:rPr>
          <w:rFonts w:ascii="Cambria" w:eastAsia="Times New Roman" w:hAnsi="Cambria"/>
          <w:b/>
          <w:bCs/>
          <w:szCs w:val="24"/>
        </w:rPr>
        <w:br/>
        <w:t>par 20___. gadu</w:t>
      </w:r>
    </w:p>
    <w:p w:rsidR="005F1C23" w:rsidRPr="005F1C23" w:rsidRDefault="005F1C23" w:rsidP="005F1C23">
      <w:pPr>
        <w:spacing w:line="260" w:lineRule="exact"/>
        <w:ind w:firstLine="539"/>
        <w:rPr>
          <w:rFonts w:ascii="Cambria" w:hAnsi="Cambria"/>
          <w:szCs w:val="24"/>
        </w:rPr>
      </w:pPr>
    </w:p>
    <w:p w:rsidR="005F1C23" w:rsidRPr="00A106CE" w:rsidRDefault="005F1C23" w:rsidP="005F1C23">
      <w:pPr>
        <w:spacing w:before="130" w:line="260" w:lineRule="exact"/>
        <w:rPr>
          <w:rFonts w:ascii="Cambria" w:hAnsi="Cambria"/>
          <w:sz w:val="19"/>
        </w:rPr>
      </w:pPr>
      <w:r w:rsidRPr="00A106CE">
        <w:rPr>
          <w:rFonts w:ascii="Cambria" w:hAnsi="Cambria"/>
          <w:sz w:val="19"/>
        </w:rPr>
        <w:t xml:space="preserve">Iesniedz līdz 20___. gada 1. aprīlim </w:t>
      </w:r>
    </w:p>
    <w:p w:rsidR="005F1C23" w:rsidRPr="00A106CE" w:rsidRDefault="005F1C23" w:rsidP="005F1C23">
      <w:pPr>
        <w:spacing w:before="130" w:line="260" w:lineRule="exact"/>
        <w:rPr>
          <w:rFonts w:ascii="Cambria" w:hAnsi="Cambria"/>
          <w:b/>
          <w:color w:val="000000"/>
          <w:sz w:val="19"/>
        </w:rPr>
      </w:pPr>
      <w:r w:rsidRPr="00A106CE">
        <w:rPr>
          <w:rFonts w:ascii="Cambria" w:hAnsi="Cambria"/>
          <w:b/>
          <w:color w:val="000000"/>
          <w:sz w:val="19"/>
        </w:rPr>
        <w:t>Pārskata sagatavotājs</w:t>
      </w:r>
    </w:p>
    <w:p w:rsidR="005F1C23" w:rsidRPr="00A106CE" w:rsidRDefault="005F1C23" w:rsidP="005F1C23">
      <w:pPr>
        <w:spacing w:line="260" w:lineRule="exact"/>
        <w:rPr>
          <w:rFonts w:ascii="Cambria" w:hAnsi="Cambria"/>
          <w:b/>
          <w:color w:val="000000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8153"/>
      </w:tblGrid>
      <w:tr w:rsidR="005F1C23" w:rsidRPr="00A106CE" w:rsidTr="009C1A0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</w:tr>
    </w:tbl>
    <w:p w:rsidR="005F1C23" w:rsidRPr="00A106CE" w:rsidRDefault="005F1C23" w:rsidP="005F1C23">
      <w:pPr>
        <w:spacing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3"/>
        <w:gridCol w:w="5228"/>
      </w:tblGrid>
      <w:tr w:rsidR="005F1C23" w:rsidRPr="00A106CE" w:rsidTr="009C1A0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</w:tr>
    </w:tbl>
    <w:p w:rsidR="005F1C23" w:rsidRPr="00A106CE" w:rsidRDefault="005F1C23" w:rsidP="005F1C23">
      <w:pPr>
        <w:spacing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8669"/>
      </w:tblGrid>
      <w:tr w:rsidR="005F1C23" w:rsidRPr="00A106CE" w:rsidTr="009C1A0E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</w:tr>
    </w:tbl>
    <w:p w:rsidR="005F1C23" w:rsidRPr="00A106CE" w:rsidRDefault="005F1C23" w:rsidP="005F1C23">
      <w:pPr>
        <w:spacing w:before="13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779"/>
        <w:gridCol w:w="1755"/>
        <w:gridCol w:w="3911"/>
      </w:tblGrid>
      <w:tr w:rsidR="005F1C23" w:rsidRPr="00A106CE" w:rsidTr="009C1A0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</w:tr>
    </w:tbl>
    <w:p w:rsidR="005F1C23" w:rsidRPr="00A106CE" w:rsidRDefault="005F1C23" w:rsidP="005F1C23">
      <w:pPr>
        <w:spacing w:before="130" w:line="260" w:lineRule="exact"/>
        <w:rPr>
          <w:rFonts w:ascii="Cambria" w:hAnsi="Cambria"/>
          <w:b/>
          <w:sz w:val="19"/>
        </w:rPr>
      </w:pPr>
      <w:r w:rsidRPr="00A106CE">
        <w:rPr>
          <w:rFonts w:ascii="Cambria" w:hAnsi="Cambria"/>
          <w:b/>
          <w:sz w:val="19"/>
        </w:rPr>
        <w:t xml:space="preserve">Veidlapas aizpildītājs </w:t>
      </w:r>
    </w:p>
    <w:p w:rsidR="005F1C23" w:rsidRPr="00A106CE" w:rsidRDefault="005F1C23" w:rsidP="005F1C23">
      <w:pPr>
        <w:spacing w:line="260" w:lineRule="exact"/>
        <w:rPr>
          <w:rFonts w:ascii="Cambria" w:hAnsi="Cambria"/>
          <w:b/>
          <w:sz w:val="19"/>
          <w:szCs w:val="16"/>
        </w:rPr>
      </w:pPr>
    </w:p>
    <w:tbl>
      <w:tblPr>
        <w:tblpPr w:leftFromText="181" w:rightFromText="181" w:vertAnchor="text" w:horzAnchor="margin" w:tblpXSpec="right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852"/>
      </w:tblGrid>
      <w:tr w:rsidR="005F1C23" w:rsidRPr="00A106CE" w:rsidTr="009C1A0E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C23" w:rsidRPr="00A106CE" w:rsidRDefault="005F1C23" w:rsidP="009C1A0E">
            <w:pPr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Vārds, uzvārds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23" w:rsidRPr="00A106CE" w:rsidRDefault="005F1C23" w:rsidP="009C1A0E">
            <w:pPr>
              <w:rPr>
                <w:rFonts w:ascii="Cambria" w:hAnsi="Cambria"/>
                <w:sz w:val="19"/>
              </w:rPr>
            </w:pPr>
          </w:p>
        </w:tc>
      </w:tr>
    </w:tbl>
    <w:p w:rsidR="005F1C23" w:rsidRPr="00A106CE" w:rsidRDefault="005F1C23" w:rsidP="005F1C23">
      <w:pPr>
        <w:spacing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779"/>
        <w:gridCol w:w="1755"/>
        <w:gridCol w:w="3911"/>
      </w:tblGrid>
      <w:tr w:rsidR="005F1C23" w:rsidRPr="00A106CE" w:rsidTr="009C1A0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      </w:t>
            </w:r>
            <w:r w:rsidRPr="00A106CE">
              <w:rPr>
                <w:rFonts w:ascii="Cambria" w:hAnsi="Cambria"/>
                <w:sz w:val="19"/>
              </w:rPr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5F1C23" w:rsidRPr="00A106CE" w:rsidRDefault="005F1C23" w:rsidP="009C1A0E">
            <w:pPr>
              <w:rPr>
                <w:rFonts w:ascii="Cambria" w:hAnsi="Cambria"/>
                <w:b/>
                <w:color w:val="000000"/>
                <w:sz w:val="19"/>
              </w:rPr>
            </w:pPr>
          </w:p>
        </w:tc>
      </w:tr>
    </w:tbl>
    <w:p w:rsidR="005F1C23" w:rsidRPr="00A106CE" w:rsidRDefault="005F1C23" w:rsidP="005F1C23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3"/>
        <w:gridCol w:w="7008"/>
      </w:tblGrid>
      <w:tr w:rsidR="005F1C23" w:rsidRPr="00A106CE" w:rsidTr="009C1A0E">
        <w:tc>
          <w:tcPr>
            <w:tcW w:w="2573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b/>
                <w:sz w:val="19"/>
              </w:rPr>
            </w:pPr>
            <w:r w:rsidRPr="00A106CE">
              <w:rPr>
                <w:rFonts w:ascii="Cambria" w:hAnsi="Cambria"/>
                <w:b/>
                <w:sz w:val="19"/>
              </w:rPr>
              <w:t>Sadaļas numurs un nosaukums</w:t>
            </w:r>
          </w:p>
        </w:tc>
        <w:tc>
          <w:tcPr>
            <w:tcW w:w="7008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tabs>
                <w:tab w:val="left" w:pos="4140"/>
              </w:tabs>
              <w:snapToGrid w:val="0"/>
              <w:rPr>
                <w:rFonts w:ascii="Cambria" w:hAnsi="Cambria"/>
                <w:b/>
                <w:sz w:val="19"/>
              </w:rPr>
            </w:pPr>
            <w:r w:rsidRPr="00A106CE">
              <w:rPr>
                <w:rFonts w:ascii="Cambria" w:hAnsi="Cambria"/>
                <w:b/>
                <w:sz w:val="19"/>
              </w:rPr>
              <w:t>Sadaļu aizpilda, ja pārskata gadā</w:t>
            </w:r>
          </w:p>
        </w:tc>
      </w:tr>
      <w:tr w:rsidR="005F1C23" w:rsidRPr="00A106CE" w:rsidTr="009C1A0E">
        <w:tc>
          <w:tcPr>
            <w:tcW w:w="2573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color w:val="000000"/>
                <w:sz w:val="19"/>
                <w:highlight w:val="yellow"/>
              </w:rPr>
            </w:pPr>
            <w:r w:rsidRPr="00A106CE">
              <w:rPr>
                <w:rFonts w:ascii="Cambria" w:hAnsi="Cambria"/>
                <w:sz w:val="19"/>
              </w:rPr>
              <w:t xml:space="preserve">1. Koncesijas līgumi, kuru līgumcena ir mazāka par </w:t>
            </w:r>
            <w:r w:rsidRPr="00A106CE">
              <w:rPr>
                <w:rFonts w:ascii="Cambria" w:hAnsi="Cambria"/>
                <w:color w:val="000000"/>
                <w:sz w:val="19"/>
              </w:rPr>
              <w:t>Eiropas Savienības līgumcenu robežu</w:t>
            </w:r>
          </w:p>
        </w:tc>
        <w:tc>
          <w:tcPr>
            <w:tcW w:w="7008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  <w:highlight w:val="yellow"/>
              </w:rPr>
            </w:pPr>
            <w:r w:rsidRPr="00A106CE">
              <w:rPr>
                <w:rFonts w:ascii="Cambria" w:hAnsi="Cambria"/>
                <w:sz w:val="19"/>
              </w:rPr>
              <w:t xml:space="preserve">noslēgti līgumi, kuru līgumcena ir mazāka par </w:t>
            </w:r>
            <w:r w:rsidRPr="00A106CE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normatīvajos aktos par publiskās un privātās partnerības iepirkumu l</w:t>
            </w:r>
            <w:r w:rsidRPr="00A106CE">
              <w:rPr>
                <w:rFonts w:ascii="Cambria" w:hAnsi="Cambria"/>
                <w:bCs/>
                <w:color w:val="222222"/>
                <w:sz w:val="19"/>
                <w:shd w:val="clear" w:color="auto" w:fill="FFFFFF"/>
              </w:rPr>
              <w:t xml:space="preserve">īgumcenu robežām </w:t>
            </w:r>
            <w:r w:rsidRPr="00A106CE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noteiktās</w:t>
            </w:r>
            <w:r w:rsidRPr="00A106CE">
              <w:rPr>
                <w:rFonts w:ascii="Cambria" w:hAnsi="Cambria"/>
                <w:sz w:val="19"/>
              </w:rPr>
              <w:t xml:space="preserve"> līgumcenas robežvērtību</w:t>
            </w:r>
          </w:p>
        </w:tc>
      </w:tr>
      <w:tr w:rsidR="005F1C23" w:rsidRPr="00A106CE" w:rsidTr="009C1A0E">
        <w:tc>
          <w:tcPr>
            <w:tcW w:w="2573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2. Koncesijas līgumi, kuru līgumcena ir lielāka par Eiropas Savienības līgumcenu robežu</w:t>
            </w:r>
          </w:p>
        </w:tc>
        <w:tc>
          <w:tcPr>
            <w:tcW w:w="7008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 xml:space="preserve">noslēgti līgumi, kuru līgumcena ir vienāda ar normatīvajos aktos par publiskās un privātās partnerības iepirkumu </w:t>
            </w:r>
            <w:r w:rsidRPr="00A106CE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l</w:t>
            </w:r>
            <w:r w:rsidRPr="00A106CE">
              <w:rPr>
                <w:rFonts w:ascii="Cambria" w:hAnsi="Cambria"/>
                <w:bCs/>
                <w:color w:val="222222"/>
                <w:sz w:val="19"/>
                <w:shd w:val="clear" w:color="auto" w:fill="FFFFFF"/>
              </w:rPr>
              <w:t>īgumcenu robežām</w:t>
            </w:r>
            <w:r w:rsidRPr="00A106CE">
              <w:rPr>
                <w:rFonts w:ascii="Cambria" w:hAnsi="Cambria"/>
                <w:sz w:val="19"/>
              </w:rPr>
              <w:t xml:space="preserve"> </w:t>
            </w:r>
            <w:r w:rsidRPr="00A106CE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noteiktās</w:t>
            </w:r>
            <w:r w:rsidRPr="00A106CE">
              <w:rPr>
                <w:rFonts w:ascii="Cambria" w:hAnsi="Cambria"/>
                <w:sz w:val="19"/>
              </w:rPr>
              <w:t xml:space="preserve"> līgumcenas robežvērtību vai lielāka par to</w:t>
            </w:r>
          </w:p>
        </w:tc>
      </w:tr>
      <w:tr w:rsidR="005F1C23" w:rsidRPr="00A106CE" w:rsidTr="009C1A0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573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  <w:highlight w:val="yellow"/>
              </w:rPr>
            </w:pPr>
            <w:r w:rsidRPr="00A106CE">
              <w:rPr>
                <w:rFonts w:ascii="Cambria" w:hAnsi="Cambria"/>
                <w:sz w:val="19"/>
              </w:rPr>
              <w:t>3. Publiskās un privātās partnerības likuma piemērošanas izņēmumi</w:t>
            </w:r>
          </w:p>
        </w:tc>
        <w:tc>
          <w:tcPr>
            <w:tcW w:w="7008" w:type="dxa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  <w:highlight w:val="yellow"/>
              </w:rPr>
            </w:pPr>
            <w:r w:rsidRPr="00A106CE">
              <w:rPr>
                <w:rFonts w:ascii="Cambria" w:hAnsi="Cambria"/>
                <w:sz w:val="19"/>
              </w:rPr>
              <w:t>noslēgti līgumi, pamatojoties uz Publiskās un privātās partnerības likuma 3., 3.</w:t>
            </w:r>
            <w:r w:rsidRPr="00A106CE">
              <w:rPr>
                <w:rFonts w:ascii="Cambria" w:hAnsi="Cambria"/>
                <w:sz w:val="19"/>
                <w:vertAlign w:val="superscript"/>
              </w:rPr>
              <w:t>1</w:t>
            </w:r>
            <w:r w:rsidRPr="00A106CE">
              <w:rPr>
                <w:rFonts w:ascii="Cambria" w:hAnsi="Cambria"/>
                <w:sz w:val="19"/>
              </w:rPr>
              <w:t xml:space="preserve"> un 3.</w:t>
            </w:r>
            <w:r w:rsidRPr="00A106CE">
              <w:rPr>
                <w:rFonts w:ascii="Cambria" w:hAnsi="Cambria"/>
                <w:sz w:val="19"/>
                <w:vertAlign w:val="superscript"/>
              </w:rPr>
              <w:t>2</w:t>
            </w:r>
            <w:r w:rsidRPr="00A106CE">
              <w:rPr>
                <w:rFonts w:ascii="Cambria" w:hAnsi="Cambria"/>
                <w:sz w:val="19"/>
              </w:rPr>
              <w:t xml:space="preserve"> pantā noteiktajiem likuma piemērošanas izņēmumiem</w:t>
            </w:r>
          </w:p>
        </w:tc>
      </w:tr>
    </w:tbl>
    <w:p w:rsidR="005F1C23" w:rsidRPr="00A106CE" w:rsidRDefault="005F1C23" w:rsidP="005F1C23">
      <w:pPr>
        <w:spacing w:line="260" w:lineRule="exact"/>
        <w:jc w:val="both"/>
        <w:rPr>
          <w:rFonts w:ascii="Cambria" w:hAnsi="Cambria"/>
          <w:sz w:val="19"/>
        </w:rPr>
      </w:pPr>
    </w:p>
    <w:p w:rsidR="005F1C23" w:rsidRDefault="005F1C23">
      <w:pPr>
        <w:spacing w:after="200" w:line="276" w:lineRule="auto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5F1C23" w:rsidRPr="00A106CE" w:rsidRDefault="005F1C23" w:rsidP="005F1C23">
      <w:pPr>
        <w:spacing w:line="260" w:lineRule="exact"/>
        <w:jc w:val="both"/>
        <w:rPr>
          <w:rFonts w:ascii="Cambria" w:hAnsi="Cambria"/>
          <w:b/>
          <w:sz w:val="19"/>
        </w:rPr>
      </w:pPr>
      <w:r w:rsidRPr="00A106CE">
        <w:rPr>
          <w:rFonts w:ascii="Cambria" w:hAnsi="Cambria"/>
          <w:b/>
          <w:sz w:val="19"/>
        </w:rPr>
        <w:t>1. </w:t>
      </w:r>
      <w:r w:rsidRPr="00A106CE">
        <w:rPr>
          <w:rFonts w:ascii="Cambria" w:hAnsi="Cambria"/>
          <w:b/>
          <w:bCs/>
          <w:sz w:val="19"/>
        </w:rPr>
        <w:t xml:space="preserve">Koncesijas līgumi, </w:t>
      </w:r>
      <w:r w:rsidRPr="00A106CE">
        <w:rPr>
          <w:rFonts w:ascii="Cambria" w:hAnsi="Cambria"/>
          <w:b/>
          <w:sz w:val="19"/>
        </w:rPr>
        <w:t xml:space="preserve">kuru līgumcena ir mazāka par Eiropas Savienības līgumcenu robežu </w:t>
      </w:r>
    </w:p>
    <w:p w:rsidR="005F1C23" w:rsidRPr="00A106CE" w:rsidRDefault="005F1C23" w:rsidP="005F1C23">
      <w:pPr>
        <w:spacing w:line="260" w:lineRule="exact"/>
        <w:jc w:val="both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145"/>
        <w:gridCol w:w="1001"/>
        <w:gridCol w:w="1716"/>
        <w:gridCol w:w="2431"/>
      </w:tblGrid>
      <w:tr w:rsidR="005F1C23" w:rsidRPr="00A106CE" w:rsidTr="009C1A0E">
        <w:tc>
          <w:tcPr>
            <w:tcW w:w="1278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textAlignment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Iepirkumu veids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Procedūru veids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Rindas kods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Noslēgto līgumu skaits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Noslēgto līgumu kopējā summa (</w:t>
            </w:r>
            <w:proofErr w:type="spellStart"/>
            <w:r w:rsidRPr="00A106CE">
              <w:rPr>
                <w:rFonts w:ascii="Cambria" w:hAnsi="Cambria"/>
                <w:i/>
                <w:sz w:val="19"/>
                <w:szCs w:val="20"/>
              </w:rPr>
              <w:t>euro</w:t>
            </w:r>
            <w:proofErr w:type="spellEnd"/>
            <w:r w:rsidRPr="00A106CE">
              <w:rPr>
                <w:rFonts w:ascii="Cambria" w:hAnsi="Cambria"/>
                <w:sz w:val="19"/>
                <w:szCs w:val="20"/>
              </w:rPr>
              <w:t>) bez PVN</w:t>
            </w:r>
          </w:p>
        </w:tc>
      </w:tr>
      <w:tr w:rsidR="005F1C23" w:rsidRPr="00A106CE" w:rsidTr="009C1A0E">
        <w:tc>
          <w:tcPr>
            <w:tcW w:w="1278" w:type="dxa"/>
            <w:vMerge w:val="restart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Būvdarbi</w:t>
            </w: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Konkurss bez pretendentu atlases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010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Konkurss ar pretendentu atlasi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020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Konkursa dialogs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030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Sarunu procedūra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040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 w:val="restart"/>
            <w:vAlign w:val="center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lastRenderedPageBreak/>
              <w:t>Pakalpojumi</w:t>
            </w: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Konkurss bez pretendentu atlases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050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Konkurss ar pretendentu atlasi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060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Konkursa dialogs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070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1278" w:type="dxa"/>
            <w:vMerge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5F1C23" w:rsidRPr="00A106CE" w:rsidRDefault="005F1C23" w:rsidP="009C1A0E">
            <w:pPr>
              <w:pStyle w:val="TableContents"/>
              <w:snapToGrid w:val="0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Sarunu procedūra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080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F1C23" w:rsidRPr="00A106CE" w:rsidTr="009C1A0E">
        <w:tc>
          <w:tcPr>
            <w:tcW w:w="4396" w:type="dxa"/>
            <w:gridSpan w:val="2"/>
          </w:tcPr>
          <w:p w:rsidR="005F1C23" w:rsidRPr="00A106CE" w:rsidRDefault="005F1C23" w:rsidP="009C1A0E">
            <w:pPr>
              <w:pStyle w:val="TableContents"/>
              <w:snapToGrid w:val="0"/>
              <w:jc w:val="right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992" w:type="dxa"/>
            <w:shd w:val="clear" w:color="auto" w:fill="D9D9D9"/>
          </w:tcPr>
          <w:p w:rsidR="005F1C23" w:rsidRPr="00A106CE" w:rsidRDefault="005F1C23" w:rsidP="009C1A0E">
            <w:pPr>
              <w:pStyle w:val="TableContents"/>
              <w:snapToGrid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A106CE">
              <w:rPr>
                <w:rFonts w:ascii="Cambria" w:hAnsi="Cambria"/>
                <w:sz w:val="19"/>
                <w:szCs w:val="20"/>
              </w:rPr>
              <w:t>090</w:t>
            </w:r>
          </w:p>
        </w:tc>
        <w:tc>
          <w:tcPr>
            <w:tcW w:w="1701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410" w:type="dxa"/>
          </w:tcPr>
          <w:p w:rsidR="005F1C23" w:rsidRPr="00A106CE" w:rsidRDefault="005F1C23" w:rsidP="009C1A0E">
            <w:pPr>
              <w:snapToGrid w:val="0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5F1C23" w:rsidRPr="00A106CE" w:rsidRDefault="005F1C23" w:rsidP="005F1C23">
      <w:pPr>
        <w:spacing w:before="130" w:line="260" w:lineRule="exact"/>
        <w:jc w:val="both"/>
        <w:rPr>
          <w:rFonts w:ascii="Cambria" w:hAnsi="Cambria"/>
          <w:b/>
          <w:sz w:val="19"/>
        </w:rPr>
      </w:pPr>
    </w:p>
    <w:p w:rsidR="005F1C23" w:rsidRPr="00A106CE" w:rsidRDefault="005F1C23" w:rsidP="005F1C23">
      <w:pPr>
        <w:spacing w:before="130" w:line="260" w:lineRule="exact"/>
        <w:jc w:val="both"/>
        <w:rPr>
          <w:rFonts w:ascii="Cambria" w:hAnsi="Cambria"/>
          <w:b/>
          <w:sz w:val="19"/>
        </w:rPr>
      </w:pPr>
    </w:p>
    <w:p w:rsidR="005F1C23" w:rsidRPr="00A106CE" w:rsidRDefault="005F1C23" w:rsidP="005F1C23">
      <w:pPr>
        <w:spacing w:before="130" w:line="260" w:lineRule="exact"/>
        <w:rPr>
          <w:rFonts w:ascii="Cambria" w:hAnsi="Cambria"/>
          <w:sz w:val="19"/>
        </w:rPr>
        <w:sectPr w:rsidR="005F1C23" w:rsidRPr="00A106CE" w:rsidSect="005F1C23">
          <w:headerReference w:type="first" r:id="rId7"/>
          <w:pgSz w:w="11907" w:h="16839" w:code="9"/>
          <w:pgMar w:top="1135" w:right="1191" w:bottom="1474" w:left="1191" w:header="0" w:footer="0" w:gutter="0"/>
          <w:cols w:space="720"/>
          <w:docGrid w:linePitch="360"/>
        </w:sectPr>
      </w:pPr>
    </w:p>
    <w:p w:rsidR="005F1C23" w:rsidRPr="00A106CE" w:rsidRDefault="005F1C23" w:rsidP="005F1C23">
      <w:pPr>
        <w:snapToGrid w:val="0"/>
        <w:spacing w:before="130" w:line="260" w:lineRule="exact"/>
        <w:rPr>
          <w:rFonts w:ascii="Cambria" w:hAnsi="Cambria"/>
          <w:b/>
          <w:bCs/>
          <w:sz w:val="19"/>
          <w:szCs w:val="24"/>
        </w:rPr>
      </w:pPr>
      <w:r w:rsidRPr="00A106CE">
        <w:rPr>
          <w:rFonts w:ascii="Cambria" w:hAnsi="Cambria"/>
          <w:b/>
          <w:bCs/>
          <w:sz w:val="19"/>
          <w:szCs w:val="24"/>
        </w:rPr>
        <w:lastRenderedPageBreak/>
        <w:t>2. Koncesijas līgumi, kuru līgumcena ir vienāda ar Eiropas Savienības līgumcenu robežu vai lielāka par to</w:t>
      </w:r>
      <w:bookmarkStart w:id="0" w:name="_GoBack"/>
      <w:bookmarkEnd w:id="0"/>
    </w:p>
    <w:p w:rsidR="005F1C23" w:rsidRPr="00A106CE" w:rsidRDefault="005F1C23" w:rsidP="005F1C23">
      <w:pPr>
        <w:snapToGrid w:val="0"/>
        <w:spacing w:line="260" w:lineRule="exact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1421"/>
        <w:gridCol w:w="1253"/>
        <w:gridCol w:w="1253"/>
        <w:gridCol w:w="1097"/>
        <w:gridCol w:w="1165"/>
        <w:gridCol w:w="1078"/>
        <w:gridCol w:w="1680"/>
        <w:gridCol w:w="1432"/>
        <w:gridCol w:w="1603"/>
      </w:tblGrid>
      <w:tr w:rsidR="005F1C23" w:rsidRPr="00A106CE" w:rsidTr="009C1A0E">
        <w:tc>
          <w:tcPr>
            <w:tcW w:w="675" w:type="dxa"/>
            <w:vMerge w:val="restart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Nr. p. k.</w:t>
            </w:r>
          </w:p>
        </w:tc>
        <w:tc>
          <w:tcPr>
            <w:tcW w:w="1422" w:type="dxa"/>
            <w:vMerge w:val="restart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Identifikācijas Nr.</w:t>
            </w:r>
          </w:p>
        </w:tc>
        <w:tc>
          <w:tcPr>
            <w:tcW w:w="1562" w:type="dxa"/>
            <w:vMerge w:val="restart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CPV kods</w:t>
            </w:r>
          </w:p>
        </w:tc>
        <w:tc>
          <w:tcPr>
            <w:tcW w:w="4898" w:type="dxa"/>
            <w:gridSpan w:val="4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Procedūru veids</w:t>
            </w:r>
          </w:p>
        </w:tc>
        <w:tc>
          <w:tcPr>
            <w:tcW w:w="1137" w:type="dxa"/>
            <w:vMerge w:val="restart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Līgumu skaits</w:t>
            </w:r>
          </w:p>
        </w:tc>
        <w:tc>
          <w:tcPr>
            <w:tcW w:w="3343" w:type="dxa"/>
            <w:gridSpan w:val="2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Privātais partneris</w:t>
            </w:r>
          </w:p>
        </w:tc>
        <w:tc>
          <w:tcPr>
            <w:tcW w:w="1705" w:type="dxa"/>
            <w:vMerge w:val="restart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Noslēgtā līguma līgumcena (</w:t>
            </w:r>
            <w:proofErr w:type="spellStart"/>
            <w:r w:rsidRPr="00A106CE">
              <w:rPr>
                <w:rFonts w:ascii="Cambria" w:eastAsia="Times New Roman" w:hAnsi="Cambria"/>
                <w:i/>
                <w:sz w:val="19"/>
              </w:rPr>
              <w:t>euro</w:t>
            </w:r>
            <w:proofErr w:type="spellEnd"/>
            <w:r w:rsidRPr="00A106CE">
              <w:rPr>
                <w:rFonts w:ascii="Cambria" w:eastAsia="Times New Roman" w:hAnsi="Cambria"/>
                <w:sz w:val="19"/>
              </w:rPr>
              <w:t>) bez PVN</w:t>
            </w:r>
          </w:p>
        </w:tc>
      </w:tr>
      <w:tr w:rsidR="005F1C23" w:rsidRPr="00A106CE" w:rsidTr="009C1A0E">
        <w:tc>
          <w:tcPr>
            <w:tcW w:w="675" w:type="dxa"/>
            <w:vMerge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422" w:type="dxa"/>
            <w:vMerge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562" w:type="dxa"/>
            <w:vMerge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konkurss bez pretendentu atlases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konkurss ar pretendentu atlasi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konkursa dialogs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sarunu procedūra</w:t>
            </w:r>
          </w:p>
        </w:tc>
        <w:tc>
          <w:tcPr>
            <w:tcW w:w="1137" w:type="dxa"/>
            <w:vMerge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780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nosaukums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valsts</w:t>
            </w:r>
          </w:p>
        </w:tc>
        <w:tc>
          <w:tcPr>
            <w:tcW w:w="1705" w:type="dxa"/>
            <w:vMerge/>
            <w:shd w:val="clear" w:color="auto" w:fill="D9D9D9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</w:tr>
      <w:tr w:rsidR="005F1C23" w:rsidRPr="00A106CE" w:rsidTr="009C1A0E">
        <w:tc>
          <w:tcPr>
            <w:tcW w:w="675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1</w:t>
            </w:r>
          </w:p>
        </w:tc>
        <w:tc>
          <w:tcPr>
            <w:tcW w:w="1422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2</w:t>
            </w:r>
          </w:p>
        </w:tc>
        <w:tc>
          <w:tcPr>
            <w:tcW w:w="1562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3</w:t>
            </w:r>
          </w:p>
        </w:tc>
        <w:tc>
          <w:tcPr>
            <w:tcW w:w="1279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4</w:t>
            </w:r>
          </w:p>
        </w:tc>
        <w:tc>
          <w:tcPr>
            <w:tcW w:w="1279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6</w:t>
            </w:r>
          </w:p>
        </w:tc>
        <w:tc>
          <w:tcPr>
            <w:tcW w:w="1203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7</w:t>
            </w:r>
          </w:p>
        </w:tc>
        <w:tc>
          <w:tcPr>
            <w:tcW w:w="1137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8</w:t>
            </w:r>
          </w:p>
        </w:tc>
        <w:tc>
          <w:tcPr>
            <w:tcW w:w="1780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9</w:t>
            </w:r>
          </w:p>
        </w:tc>
        <w:tc>
          <w:tcPr>
            <w:tcW w:w="1563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10</w:t>
            </w:r>
          </w:p>
        </w:tc>
        <w:tc>
          <w:tcPr>
            <w:tcW w:w="1705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  <w:r w:rsidRPr="00A106CE">
              <w:rPr>
                <w:rFonts w:ascii="Cambria" w:eastAsia="Times New Roman" w:hAnsi="Cambria"/>
                <w:sz w:val="19"/>
              </w:rPr>
              <w:t>11</w:t>
            </w:r>
          </w:p>
        </w:tc>
      </w:tr>
      <w:tr w:rsidR="005F1C23" w:rsidRPr="00A106CE" w:rsidTr="009C1A0E">
        <w:tc>
          <w:tcPr>
            <w:tcW w:w="675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203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eastAsia="Times New Roman" w:hAnsi="Cambria"/>
                <w:sz w:val="19"/>
              </w:rPr>
            </w:pPr>
          </w:p>
        </w:tc>
      </w:tr>
    </w:tbl>
    <w:p w:rsidR="005F1C23" w:rsidRPr="00A106CE" w:rsidRDefault="005F1C23" w:rsidP="005F1C23">
      <w:pPr>
        <w:snapToGrid w:val="0"/>
        <w:spacing w:line="260" w:lineRule="exact"/>
        <w:rPr>
          <w:rFonts w:ascii="Cambria" w:hAnsi="Cambria"/>
          <w:bCs/>
          <w:sz w:val="19"/>
          <w:szCs w:val="24"/>
        </w:rPr>
      </w:pPr>
    </w:p>
    <w:p w:rsidR="005F1C23" w:rsidRPr="00A106CE" w:rsidRDefault="005F1C23" w:rsidP="005F1C23">
      <w:pPr>
        <w:snapToGrid w:val="0"/>
        <w:spacing w:line="260" w:lineRule="exact"/>
        <w:rPr>
          <w:rFonts w:ascii="Cambria" w:hAnsi="Cambria"/>
          <w:b/>
          <w:sz w:val="19"/>
          <w:szCs w:val="24"/>
        </w:rPr>
      </w:pPr>
      <w:r w:rsidRPr="00A106CE">
        <w:rPr>
          <w:rFonts w:ascii="Cambria" w:hAnsi="Cambria"/>
          <w:b/>
          <w:bCs/>
          <w:sz w:val="19"/>
          <w:szCs w:val="24"/>
        </w:rPr>
        <w:t>3. </w:t>
      </w:r>
      <w:r w:rsidRPr="00A106CE">
        <w:rPr>
          <w:rFonts w:ascii="Cambria" w:hAnsi="Cambria"/>
          <w:b/>
          <w:sz w:val="19"/>
          <w:szCs w:val="24"/>
        </w:rPr>
        <w:t>Publiskās un privātās partnerības likuma piemērošanas izņēmumi</w:t>
      </w:r>
    </w:p>
    <w:p w:rsidR="005F1C23" w:rsidRPr="00A106CE" w:rsidRDefault="005F1C23" w:rsidP="005F1C23">
      <w:pPr>
        <w:snapToGrid w:val="0"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2979"/>
        <w:gridCol w:w="6163"/>
        <w:gridCol w:w="4185"/>
      </w:tblGrid>
      <w:tr w:rsidR="005F1C23" w:rsidRPr="00A106CE" w:rsidTr="009C1A0E">
        <w:tc>
          <w:tcPr>
            <w:tcW w:w="708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Nr.</w:t>
            </w:r>
          </w:p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p. k.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Līguma nosaukums</w:t>
            </w:r>
          </w:p>
        </w:tc>
        <w:tc>
          <w:tcPr>
            <w:tcW w:w="6510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Publiskās un privātās partnerības likuma 3., 3.</w:t>
            </w:r>
            <w:r w:rsidRPr="00A106CE">
              <w:rPr>
                <w:rFonts w:ascii="Cambria" w:hAnsi="Cambria"/>
                <w:sz w:val="19"/>
                <w:vertAlign w:val="superscript"/>
              </w:rPr>
              <w:t>1</w:t>
            </w:r>
            <w:r w:rsidRPr="00A106CE">
              <w:rPr>
                <w:rFonts w:ascii="Cambria" w:hAnsi="Cambria"/>
                <w:sz w:val="19"/>
              </w:rPr>
              <w:t xml:space="preserve"> un 3.</w:t>
            </w:r>
            <w:r w:rsidRPr="00A106CE">
              <w:rPr>
                <w:rFonts w:ascii="Cambria" w:hAnsi="Cambria"/>
                <w:sz w:val="19"/>
                <w:vertAlign w:val="superscript"/>
              </w:rPr>
              <w:t>2</w:t>
            </w:r>
            <w:r w:rsidRPr="00A106CE">
              <w:rPr>
                <w:rFonts w:ascii="Cambria" w:hAnsi="Cambria"/>
                <w:sz w:val="19"/>
              </w:rPr>
              <w:t xml:space="preserve"> pantā noteiktais pamatojums </w:t>
            </w:r>
          </w:p>
        </w:tc>
        <w:tc>
          <w:tcPr>
            <w:tcW w:w="4409" w:type="dxa"/>
            <w:shd w:val="clear" w:color="auto" w:fill="D9D9D9"/>
            <w:vAlign w:val="center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Noslēgtā līguma līgumcena (</w:t>
            </w:r>
            <w:proofErr w:type="spellStart"/>
            <w:r w:rsidRPr="00A106CE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A106CE">
              <w:rPr>
                <w:rFonts w:ascii="Cambria" w:hAnsi="Cambria"/>
                <w:sz w:val="19"/>
              </w:rPr>
              <w:t>) bez PVN</w:t>
            </w:r>
          </w:p>
        </w:tc>
      </w:tr>
      <w:tr w:rsidR="005F1C23" w:rsidRPr="00A106CE" w:rsidTr="009C1A0E">
        <w:tc>
          <w:tcPr>
            <w:tcW w:w="708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3115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6510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4409" w:type="dxa"/>
            <w:shd w:val="clear" w:color="auto" w:fill="D9D9D9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  <w:r w:rsidRPr="00A106CE">
              <w:rPr>
                <w:rFonts w:ascii="Cambria" w:hAnsi="Cambria"/>
                <w:sz w:val="19"/>
              </w:rPr>
              <w:t>4</w:t>
            </w:r>
          </w:p>
        </w:tc>
      </w:tr>
      <w:tr w:rsidR="005F1C23" w:rsidRPr="00A106CE" w:rsidTr="009C1A0E">
        <w:tc>
          <w:tcPr>
            <w:tcW w:w="708" w:type="dxa"/>
            <w:vAlign w:val="bottom"/>
          </w:tcPr>
          <w:p w:rsidR="005F1C23" w:rsidRPr="00A106CE" w:rsidRDefault="005F1C23" w:rsidP="009C1A0E">
            <w:pPr>
              <w:snapToGrid w:val="0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115" w:type="dxa"/>
            <w:vAlign w:val="bottom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</w:rPr>
            </w:pPr>
          </w:p>
        </w:tc>
        <w:tc>
          <w:tcPr>
            <w:tcW w:w="6510" w:type="dxa"/>
            <w:vAlign w:val="bottom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</w:rPr>
            </w:pPr>
          </w:p>
        </w:tc>
        <w:tc>
          <w:tcPr>
            <w:tcW w:w="4409" w:type="dxa"/>
            <w:vAlign w:val="bottom"/>
          </w:tcPr>
          <w:p w:rsidR="005F1C23" w:rsidRPr="00A106CE" w:rsidRDefault="005F1C23" w:rsidP="009C1A0E">
            <w:pPr>
              <w:snapToGrid w:val="0"/>
              <w:rPr>
                <w:rFonts w:ascii="Cambria" w:hAnsi="Cambria"/>
                <w:sz w:val="19"/>
              </w:rPr>
            </w:pPr>
          </w:p>
        </w:tc>
      </w:tr>
    </w:tbl>
    <w:p w:rsidR="005F1C23" w:rsidRPr="00A106CE" w:rsidRDefault="005F1C23" w:rsidP="005F1C23">
      <w:pPr>
        <w:spacing w:before="130" w:line="260" w:lineRule="exact"/>
        <w:jc w:val="both"/>
        <w:rPr>
          <w:rFonts w:ascii="Cambria" w:hAnsi="Cambria"/>
          <w:sz w:val="19"/>
        </w:rPr>
      </w:pPr>
    </w:p>
    <w:p w:rsidR="00925191" w:rsidRDefault="00925191"/>
    <w:sectPr w:rsidR="00925191" w:rsidSect="005F1C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23" w:rsidRDefault="005F1C23" w:rsidP="005F1C23">
      <w:r>
        <w:separator/>
      </w:r>
    </w:p>
  </w:endnote>
  <w:endnote w:type="continuationSeparator" w:id="0">
    <w:p w:rsidR="005F1C23" w:rsidRDefault="005F1C23" w:rsidP="005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23" w:rsidRDefault="005F1C23" w:rsidP="005F1C23">
      <w:r>
        <w:separator/>
      </w:r>
    </w:p>
  </w:footnote>
  <w:footnote w:type="continuationSeparator" w:id="0">
    <w:p w:rsidR="005F1C23" w:rsidRDefault="005F1C23" w:rsidP="005F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CE" w:rsidRPr="00A106CE" w:rsidRDefault="00177F99" w:rsidP="00A106CE">
    <w:pPr>
      <w:pStyle w:val="Header"/>
      <w:spacing w:after="2820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23"/>
    <w:rsid w:val="00177F99"/>
    <w:rsid w:val="005F1C23"/>
    <w:rsid w:val="009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23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F1C23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5F1C23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C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2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23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F1C23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5F1C23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C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2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2017-05-10T08:56:00Z</dcterms:created>
  <dcterms:modified xsi:type="dcterms:W3CDTF">2017-05-10T09:11:00Z</dcterms:modified>
</cp:coreProperties>
</file>