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18" w:rsidRDefault="00F80418" w:rsidP="00F80418">
      <w:pPr>
        <w:autoSpaceDE w:val="0"/>
        <w:autoSpaceDN w:val="0"/>
        <w:adjustRightInd w:val="0"/>
        <w:spacing w:after="0" w:line="240" w:lineRule="auto"/>
        <w:ind w:left="0" w:right="0" w:firstLine="301"/>
        <w:jc w:val="right"/>
        <w:rPr>
          <w:rFonts w:ascii="Times New Roman" w:hAnsi="Times New Roman" w:cs="Times New Roman"/>
          <w:color w:val="auto"/>
          <w:szCs w:val="24"/>
        </w:rPr>
      </w:pPr>
      <w:r w:rsidRPr="00D13B18">
        <w:rPr>
          <w:rFonts w:ascii="Times New Roman" w:hAnsi="Times New Roman" w:cs="Times New Roman"/>
          <w:color w:val="auto"/>
          <w:szCs w:val="24"/>
        </w:rPr>
        <w:t>3.pielikums</w:t>
      </w:r>
      <w:r w:rsidRPr="00D13B18">
        <w:rPr>
          <w:rFonts w:ascii="Times New Roman" w:hAnsi="Times New Roman" w:cs="Times New Roman"/>
          <w:color w:val="auto"/>
          <w:szCs w:val="24"/>
        </w:rPr>
        <w:br/>
        <w:t>Sabiedrisko pakalpojumu regulēšanas komisijas</w:t>
      </w:r>
      <w:r w:rsidRPr="00D13B18">
        <w:rPr>
          <w:rFonts w:ascii="Times New Roman" w:hAnsi="Times New Roman" w:cs="Times New Roman"/>
          <w:color w:val="auto"/>
          <w:szCs w:val="24"/>
        </w:rPr>
        <w:br/>
        <w:t>2014.gada 23.oktobra lēmumam Nr.1/14</w:t>
      </w:r>
    </w:p>
    <w:p w:rsidR="00F80418" w:rsidRPr="00F80418" w:rsidRDefault="00F80418" w:rsidP="00F80418">
      <w:pPr>
        <w:autoSpaceDE w:val="0"/>
        <w:autoSpaceDN w:val="0"/>
        <w:adjustRightInd w:val="0"/>
        <w:spacing w:after="0" w:line="240" w:lineRule="auto"/>
        <w:ind w:left="0" w:right="0" w:firstLine="30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80418">
        <w:rPr>
          <w:rFonts w:ascii="Times New Roman" w:hAnsi="Times New Roman" w:cs="Times New Roman"/>
          <w:i/>
          <w:sz w:val="20"/>
          <w:szCs w:val="20"/>
        </w:rPr>
        <w:t>(Pielikums SPRK padomes 21.12.2017. lēmuma Nr. 1/37 redakcijā)</w:t>
      </w:r>
    </w:p>
    <w:p w:rsidR="00F80418" w:rsidRPr="00D13B18" w:rsidRDefault="00F80418" w:rsidP="00F80418">
      <w:pPr>
        <w:autoSpaceDE w:val="0"/>
        <w:autoSpaceDN w:val="0"/>
        <w:adjustRightInd w:val="0"/>
        <w:spacing w:after="0" w:line="240" w:lineRule="auto"/>
        <w:ind w:left="0" w:right="0" w:firstLine="301"/>
        <w:jc w:val="left"/>
        <w:rPr>
          <w:rFonts w:ascii="Times New Roman" w:hAnsi="Times New Roman" w:cs="Times New Roman"/>
          <w:color w:val="auto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55"/>
        <w:gridCol w:w="4389"/>
      </w:tblGrid>
      <w:tr w:rsidR="00F80418" w:rsidRPr="00D13B18" w:rsidTr="00496496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Komersanta 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nosaukums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Vienotais reģistrācijas numurs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Pārskata periods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Ūdensapgādes pakalpojum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u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tarifa darbības teritorija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Kanalizācijas pakalpojum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u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tarifa darbības teritorija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Regulējamā nozare: ūdenssaimniecība</w:t>
            </w:r>
          </w:p>
        </w:tc>
      </w:tr>
    </w:tbl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30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80418">
        <w:rPr>
          <w:rFonts w:ascii="Times New Roman" w:eastAsia="Times New Roman" w:hAnsi="Times New Roman" w:cs="Times New Roman"/>
          <w:b/>
          <w:bCs/>
          <w:color w:val="auto"/>
          <w:szCs w:val="24"/>
        </w:rPr>
        <w:t>Atskaite par sniegto sabiedrisko pakalpojumu izmaksām un ieņēmumiem, sniegto pakalpojumu apjomu, ūdensapgādes sistēmu un kanalizācijas sistēmu raksturojumu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D13B1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vertAlign w:val="superscript"/>
        </w:rPr>
        <w:t>[1] [2]</w:t>
      </w:r>
    </w:p>
    <w:p w:rsidR="00F80418" w:rsidRDefault="00F80418" w:rsidP="00F80418">
      <w:pPr>
        <w:spacing w:after="0" w:line="360" w:lineRule="auto"/>
        <w:ind w:left="0" w:right="0" w:firstLine="301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0" w:name="_Hlk497827445"/>
      <w:r w:rsidRPr="00D13B1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1. Izmaksas un ieņēmumi</w:t>
      </w:r>
    </w:p>
    <w:p w:rsidR="00F80418" w:rsidRPr="00FC6522" w:rsidRDefault="00F80418" w:rsidP="00F80418">
      <w:pPr>
        <w:ind w:right="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1.tabula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93"/>
        <w:gridCol w:w="3301"/>
        <w:gridCol w:w="2143"/>
        <w:gridCol w:w="2107"/>
      </w:tblGrid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Nr.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br/>
              <w:t>p.k.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Rādītāji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Ūdensapgādes pakalpojum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i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pārskata gadā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Kanalizācijas pakalpojum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i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pārskata gadā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Ieņēmumi no sniegtajiem ūdenssaimniecības pakalpojumiem tarifa darbības teritorijā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Izmaksas, EUR (tiek grupētas, pamatojoties uz ūdenssaimniecības pakalpojumu tarifu aprēķināšanas metodiku), tai skaitā: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2.1.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amatlīdzekļu nolietojums un nemateriālo ieguldījumu vērtības norakstījums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2.2.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ersonāla izmaksas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2.3.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amatlīdzekļu uzturēšanas un remontu izmaksas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lastRenderedPageBreak/>
              <w:t>2.4.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ārējās saimnieciskās darbības izmaksas, tai skaitā visu izmaksu posteņu atšifrējumi saskaņā ar ūdenssaimniecības pakalpojumu tarifu aprēķināšanas metodiku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2.4.1.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…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2.4.2.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…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2.5.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n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odokļu maksājumi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2.6.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redīta procentu maksājumi un pamatsummas atmaksa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2.7.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i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eņēmumi, par kuriem saskaņā ar metodiku jāsamazina izmaksas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Izmaksas par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9F021D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70C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Pārskata gadā saņemtie maksājumi par sniegtajiem sabiedriskajiem ūdenssaimniecības pakalpojumiem</w:t>
            </w: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Regulējamo aktīvu bāzes vērtība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(RAB)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 xml:space="preserve"> [3]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 tai skaitā: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 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5.1.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RAB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uz pārskata gada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sākumu,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EUR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5.2.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RAB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uz pārskata gada beigām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EUR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Pilnais uz tarifu attiecināto pamatlīdzekļu  nolietojums un nemateriālo ieguldījumu vērtības norakstījums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[4]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 EUR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Kopējās investīcijas ūdenssaimniecības infrastruktūrā, EUR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 tai skaitā: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7.1.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komersanta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paš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a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līdzekļi, EUR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7.2.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574BD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aizņemtie līdzekļi, EUR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7.3.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574BD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Eiropas Savienības, valsts vai pašvaldības līdzfinansējums, EUR 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tblCellSpacing w:w="15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7.4.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574BD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citi avoti (norādīt), EUR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bookmarkEnd w:id="0"/>
    </w:tbl>
    <w:p w:rsidR="00F80418" w:rsidRDefault="00F80418" w:rsidP="00F80418">
      <w:pPr>
        <w:pStyle w:val="ListParagraph"/>
        <w:spacing w:before="100" w:beforeAutospacing="1" w:after="0" w:line="36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F80418" w:rsidRDefault="00F80418" w:rsidP="00F80418">
      <w:pPr>
        <w:pStyle w:val="ListParagraph"/>
        <w:spacing w:before="100" w:beforeAutospacing="1" w:after="0" w:line="36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B50937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lastRenderedPageBreak/>
        <w:t>2. Ūdensapgādes sistēmu raksturojums un pakalpojumu apjomi pārskata gadā</w:t>
      </w:r>
    </w:p>
    <w:p w:rsidR="00F80418" w:rsidRPr="004F4D2C" w:rsidRDefault="00F80418" w:rsidP="00F80418">
      <w:pPr>
        <w:pStyle w:val="ListParagraph"/>
        <w:ind w:left="360" w:right="0" w:firstLine="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4F4D2C">
        <w:rPr>
          <w:rFonts w:ascii="Times New Roman" w:eastAsia="Times New Roman" w:hAnsi="Times New Roman" w:cs="Times New Roman"/>
          <w:sz w:val="23"/>
          <w:szCs w:val="23"/>
        </w:rPr>
        <w:t>.tabula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4"/>
        <w:gridCol w:w="2374"/>
        <w:gridCol w:w="1257"/>
        <w:gridCol w:w="1257"/>
        <w:gridCol w:w="1262"/>
        <w:gridCol w:w="1540"/>
      </w:tblGrid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Nr.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br/>
              <w:t>p.k.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Nosaukums</w:t>
            </w:r>
          </w:p>
        </w:tc>
        <w:tc>
          <w:tcPr>
            <w:tcW w:w="31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Nošķirto ūdensapgādes sistēmu raksturojošie rādītāji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Nošķirtas ūdensapgādes sistēmas atrašanās vieta (teritorijas nosaukums)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Ūdensapgādes inženiertīklu garums, km uz pārskata gada 31.decembri, tai skaitā: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2.1.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574BD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kopš 2000.gada ierīkoto un pārbūvēto ūdensapgādes inženiertīklu garums, km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Pieslēgumu skaits (ūdens ievadi) uz pārskata gada 31.decembri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Elektroenerģijas patēriņš, attiecīgajā ūdensapgādes sistēmā, kWh pārskata gadā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No dabīgajiem ūdens avotiem ņemtais ūdens (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omersanta paša iegūtais ūdens), pārskata gada apjoms,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Pašu iegūtais ūdens, kas padots centralizētajā ūdensapgādes inženiertīklā, pārskata gada apjoms,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No citiem ūdenssaimniecības pakalpojumu sniedzējiem iepirktais sagatavotais ūdens, kas padots centralizētajā ūdensapgādes inženiertīklā, pārskata gada apjoms,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lastRenderedPageBreak/>
              <w:t>8.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Ūdenssaimniecības pakalpojumu sniedzējs, no kura tiek iepirkts ūdens pārskata gadā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Lietotājiem piegādātais ūdens, pārskata gada apjoms,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Avāriju skaits ūdensapgādes inženiertīklos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[5]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F80418" w:rsidRPr="00D13B18" w:rsidRDefault="00F80418" w:rsidP="00F80418">
      <w:pPr>
        <w:spacing w:after="0" w:line="360" w:lineRule="auto"/>
        <w:ind w:left="0" w:right="0" w:firstLine="300"/>
        <w:jc w:val="left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44"/>
      </w:tblGrid>
      <w:tr w:rsidR="00F80418" w:rsidRPr="00D13B18" w:rsidTr="00496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Savienoto ūdensapgādes sistēmu raksturojums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[6]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</w:p>
        </w:tc>
      </w:tr>
      <w:tr w:rsidR="00F80418" w:rsidRPr="00D13B18" w:rsidTr="00496496">
        <w:trPr>
          <w:trHeight w:val="32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</w:tbl>
    <w:p w:rsidR="00F80418" w:rsidRDefault="00F80418" w:rsidP="00F80418">
      <w:pPr>
        <w:pStyle w:val="ListParagraph"/>
        <w:spacing w:before="100" w:beforeAutospacing="1" w:after="0" w:line="360" w:lineRule="auto"/>
        <w:ind w:left="360" w:right="0" w:firstLine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F80418" w:rsidRPr="00B50937" w:rsidRDefault="00F80418" w:rsidP="00F80418">
      <w:pPr>
        <w:pStyle w:val="ListParagraph"/>
        <w:spacing w:before="100" w:beforeAutospacing="1" w:after="0" w:line="36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B50937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3. Kanalizācijas sistēmu raksturojums un pakalpojumu apjomi pārskata gadā</w:t>
      </w:r>
    </w:p>
    <w:p w:rsidR="00F80418" w:rsidRPr="00B50937" w:rsidRDefault="00F80418" w:rsidP="00F80418">
      <w:pPr>
        <w:spacing w:after="0" w:line="360" w:lineRule="auto"/>
        <w:ind w:left="0" w:right="0" w:firstLine="0"/>
        <w:jc w:val="right"/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</w:pPr>
      <w:r w:rsidRPr="00B50937"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  <w:t>3.tabula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7"/>
        <w:gridCol w:w="2438"/>
        <w:gridCol w:w="1298"/>
        <w:gridCol w:w="1298"/>
        <w:gridCol w:w="1298"/>
        <w:gridCol w:w="1405"/>
      </w:tblGrid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Nr.</w:t>
            </w: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br/>
              <w:t>p.k.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Nosaukums</w:t>
            </w:r>
          </w:p>
        </w:tc>
        <w:tc>
          <w:tcPr>
            <w:tcW w:w="30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Nošķirto kanalizācijas sistēmu raksturojošie rādītāji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Nošķirtas kanalizācijas sistēmas atrašanās vieta (teritorijas nosaukums)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Kanalizācijas pašteces inženiertīklu garums, km uz pārskata gada 31.decembri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ai skaitā: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574BD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kopš 2000.gada ierīkoto un pārbūvēto kanalizācijas pašteces inženiertīklu garums, km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574BD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Kanalizācijas spiedvadu garums, km uz pārskata gada 31.decembri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ai skaitā: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574BD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74BD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kopš 2000.gada ierīkoto un pārbūvēto kanalizācijas spiedvadu garums, km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Pieslēgumu skaits (notekūdeņu izvadi) uz pārskata gada 31.decembri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lastRenderedPageBreak/>
              <w:t>5.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Elektroenerģijas patēriņš attiecīgajā kanalizācijas sistēmā, kWh pārskata gadā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No lietotājiem savāktie notekūdeņi, pārskata gada apjoms,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Komersanta notekūdeņu attīrīšanas iekārtās attīrītie notekūdeņi, pārskata gada apjoms,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8.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Citiem kanalizācijas pakalpojumu sniedzējiem attīrīšanai nodotie notekūdeņi pārskata gada apjoms, m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Kanalizācijas pakalpojumu sniedzējs, kuram attīrīšanai tiek nodoti notekūdeņi pārskata gadā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Avāriju skaits kanalizācijas inženiertīklos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[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5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]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80418" w:rsidRPr="00D13B18" w:rsidTr="00496496">
        <w:trPr>
          <w:cantSplit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before="100" w:beforeAutospacing="1" w:after="100" w:afterAutospacing="1" w:line="360" w:lineRule="auto"/>
              <w:ind w:left="0" w:right="0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Avāriju skaits kanalizācijas sūkņu stacijās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[5]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F80418" w:rsidRPr="00D13B18" w:rsidRDefault="00F80418" w:rsidP="00F80418">
      <w:pPr>
        <w:spacing w:after="0" w:line="360" w:lineRule="auto"/>
        <w:ind w:left="0" w:right="0" w:firstLine="30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44"/>
      </w:tblGrid>
      <w:tr w:rsidR="00F80418" w:rsidRPr="00D13B18" w:rsidTr="00496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Savienoto kanalizācijas sistēmu raksturojums 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vertAlign w:val="superscript"/>
              </w:rPr>
              <w:t>[6]</w:t>
            </w: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</w:p>
        </w:tc>
      </w:tr>
      <w:tr w:rsidR="00F80418" w:rsidRPr="00D13B18" w:rsidTr="00496496">
        <w:trPr>
          <w:trHeight w:val="32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  <w:tr w:rsidR="00F80418" w:rsidRPr="00D13B18" w:rsidTr="00496496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 </w:t>
            </w:r>
          </w:p>
        </w:tc>
      </w:tr>
    </w:tbl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Ja pārskata gadā, salīdzinot ar spēkā esošajā tarifā un iepriekšējā gada atskaitē iekļauto informāciju, vairāk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ne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kā par 10% mainās ūdenssaimniecības pakalpojumu kopējās izmaksas vai vairāk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ne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>kā par 10% mainās ūdenssaimniecības pakalpojumu apjomi, kā arī pret iepriekšējā pārskata gada atskaitē norādīto par 10% mainās pieslēgumu skaits un ūdenssaimniecības inženiertīklu garumi, ir notikušas būtiskas ūdenssaimniecības tehnoloģiskā procesa izmaiņas, ir izbeigta vai uzsākta jauna saimnieciskā darbība, tad paskaidrojumā ir jānorāda šo izmaiņu iemesli.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44"/>
      </w:tblGrid>
      <w:tr w:rsidR="00F80418" w:rsidRPr="00D13B18" w:rsidTr="004964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Paskaidrojumi:</w:t>
            </w:r>
          </w:p>
        </w:tc>
      </w:tr>
      <w:tr w:rsidR="00F80418" w:rsidRPr="00D13B18" w:rsidTr="00496496">
        <w:trPr>
          <w:trHeight w:val="32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0418" w:rsidRPr="00D13B18" w:rsidRDefault="00F80418" w:rsidP="004964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13B1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lastRenderedPageBreak/>
              <w:t> </w:t>
            </w:r>
          </w:p>
        </w:tc>
      </w:tr>
    </w:tbl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>[1] Pārskata gada informāciju sagatavot saskaņā ar Sabiedrisko pakalpojumu regulēšanas komisijas izdoto ūdenssaimniecības pakalpojumu tarifu aprēķināšanas metodiku.</w:t>
      </w:r>
    </w:p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[2] Atskaites informāciju saskaņā ar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25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  <w:vertAlign w:val="superscript"/>
        </w:rPr>
        <w:t>1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punktu</w:t>
      </w:r>
      <w:r w:rsidRPr="00D13B1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apkopot nošķirti par katru tarifa darbības teritoriju.</w:t>
      </w:r>
    </w:p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bookmarkStart w:id="1" w:name="_Hlk497827541"/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>[3] Norādīt, ja spēkā esošais tarifs aprēķināts, izmaksās iekļaujot kapitāla atdevi.</w:t>
      </w:r>
    </w:p>
    <w:p w:rsidR="00F80418" w:rsidRPr="004406AB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[4] </w:t>
      </w:r>
      <w:r w:rsidRPr="004406AB">
        <w:rPr>
          <w:rFonts w:ascii="Times New Roman" w:eastAsia="Times New Roman" w:hAnsi="Times New Roman" w:cs="Times New Roman"/>
          <w:color w:val="auto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ai</w:t>
      </w:r>
      <w:r w:rsidRPr="004406A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skaitā pamatlīdzekļu nolietojuma daļa, kura tiek samazināta saskaņā ar ūdenssaimniecības pakalpojumu tarifu aprēķināšanas metodikas prasībām.</w:t>
      </w:r>
    </w:p>
    <w:bookmarkEnd w:id="1"/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[5] Avāriju skaits ūdensapgādes inženiertīklos pārskata gadā </w:t>
      </w:r>
      <w:r w:rsidRPr="00C5685B">
        <w:rPr>
          <w:rFonts w:ascii="Times New Roman" w:eastAsia="Calibri" w:hAnsi="Times New Roman" w:cs="Times New Roman"/>
          <w:color w:val="auto"/>
          <w:szCs w:val="24"/>
          <w:lang w:eastAsia="en-US"/>
        </w:rPr>
        <w:t>–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pārskata gadā konstatēto ūdensapgādes inženiertīklu plīsumu un cita veida būtisku bojājumu skaits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Avāriju skaits kanalizācijas inženiertīklos pārskata gadā </w:t>
      </w:r>
      <w:r w:rsidRPr="00C5685B">
        <w:rPr>
          <w:rFonts w:ascii="Times New Roman" w:eastAsia="Calibri" w:hAnsi="Times New Roman" w:cs="Times New Roman"/>
          <w:color w:val="auto"/>
          <w:szCs w:val="24"/>
          <w:lang w:eastAsia="en-US"/>
        </w:rPr>
        <w:t>–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pārskata gadā konstatēto plīsumu, aizsprostojumu, iebrukumu un cita veida būtisku bojājumu skaits pašteces inženiertīklos un kanalizācijas spiedvados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Avāriju skaits kanalizācijas sūkņu stacijās pārskata gadā </w:t>
      </w:r>
      <w:r w:rsidRPr="00C5685B">
        <w:rPr>
          <w:rFonts w:ascii="Times New Roman" w:eastAsia="Calibri" w:hAnsi="Times New Roman" w:cs="Times New Roman"/>
          <w:color w:val="auto"/>
          <w:szCs w:val="24"/>
          <w:lang w:eastAsia="en-US"/>
        </w:rPr>
        <w:t>–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pārskata gadā konstatēto būtisku bojājumu skaits kanalizācijas sūkņu stacijās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, kas ir radījuši traucējumus sūkņu staciju darbībā, izņemot elektroenerģijas piegādes pārtraukumus.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F80418" w:rsidRPr="00D13B18" w:rsidRDefault="00F80418" w:rsidP="00F80418">
      <w:pPr>
        <w:spacing w:before="100" w:beforeAutospacing="1" w:after="100" w:afterAutospacing="1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>[6] Norādīt, vai kāda no atskaites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>2. vai 3.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tabulā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raksturotajām sistēmām nodrošina centralizētos ūdenssaimniecības pakalpojumus vairākās apdzīvotās vietās (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norādīt</w:t>
      </w:r>
      <w:r w:rsidRPr="00D13B1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apdzīvoto vietu nosaukumus), vai arī kāda no atsevišķi raksturotajām sistēmām ir savienota ar citu, atsevišķi raksturotu sistēmu. Atsevišķi raksturotu, bet savienotu sistēmu gadījumā skaidrot, kurā no sistēmām atrodas ūdens ražošanas / notekūdeņu attīrīšanas iekārtas.</w:t>
      </w:r>
    </w:p>
    <w:p w:rsidR="00F80418" w:rsidRDefault="00F80418" w:rsidP="00F80418">
      <w:pPr>
        <w:spacing w:after="0" w:line="360" w:lineRule="auto"/>
        <w:ind w:left="0" w:right="0" w:firstLine="300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Datums ____.____.__________________.</w:t>
      </w:r>
    </w:p>
    <w:p w:rsidR="00F80418" w:rsidRPr="00A329DB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Persona, kura tiesīga pārstāvēt komersantu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    </w:t>
      </w: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</w:t>
      </w:r>
    </w:p>
    <w:p w:rsidR="00F80418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</w:t>
      </w: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/paraksts un tā atšifrējums/</w:t>
      </w:r>
    </w:p>
    <w:p w:rsidR="00F80418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F80418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    </w:t>
      </w: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</w:t>
      </w:r>
    </w:p>
    <w:p w:rsidR="00F80418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/sagatavotāja vārds, uzvārds/</w:t>
      </w:r>
    </w:p>
    <w:p w:rsidR="00F80418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F80418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Tālrunis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    </w:t>
      </w: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</w:t>
      </w:r>
    </w:p>
    <w:p w:rsidR="00DC290E" w:rsidRPr="00F80418" w:rsidRDefault="00F80418" w:rsidP="00F80418">
      <w:pPr>
        <w:spacing w:after="0" w:line="240" w:lineRule="auto"/>
        <w:ind w:left="0" w:right="0" w:firstLine="301"/>
        <w:jc w:val="lef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e-pasts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    </w:t>
      </w:r>
      <w:r w:rsidRPr="009B359F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</w:t>
      </w:r>
      <w:bookmarkStart w:id="2" w:name="_GoBack"/>
      <w:bookmarkEnd w:id="2"/>
    </w:p>
    <w:sectPr w:rsidR="00DC290E" w:rsidRPr="00F80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8"/>
    <w:rsid w:val="00DC290E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18"/>
    <w:pPr>
      <w:spacing w:after="108" w:line="249" w:lineRule="auto"/>
      <w:ind w:left="1712" w:right="1357" w:hanging="10"/>
      <w:jc w:val="both"/>
    </w:pPr>
    <w:rPr>
      <w:rFonts w:ascii="Tahoma" w:eastAsia="Tahoma" w:hAnsi="Tahoma" w:cs="Tahoma"/>
      <w:color w:val="00000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18"/>
    <w:pPr>
      <w:spacing w:after="108" w:line="249" w:lineRule="auto"/>
      <w:ind w:left="1712" w:right="1357" w:hanging="10"/>
      <w:jc w:val="both"/>
    </w:pPr>
    <w:rPr>
      <w:rFonts w:ascii="Tahoma" w:eastAsia="Tahoma" w:hAnsi="Tahoma" w:cs="Tahoma"/>
      <w:color w:val="00000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4560</Words>
  <Characters>2600</Characters>
  <Application>Microsoft Office Word</Application>
  <DocSecurity>0</DocSecurity>
  <Lines>21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2017-12-28T08:34:00Z</dcterms:created>
  <dcterms:modified xsi:type="dcterms:W3CDTF">2017-12-28T08:36:00Z</dcterms:modified>
</cp:coreProperties>
</file>