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0F" w:rsidRDefault="00233B0F" w:rsidP="00233B0F"/>
    <w:p w:rsidR="005809F1" w:rsidRDefault="005809F1" w:rsidP="005809F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5809F1" w:rsidRDefault="005809F1" w:rsidP="00233B0F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233B0F" w:rsidRPr="00A94F9E" w:rsidRDefault="00233B0F" w:rsidP="00233B0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98</w:t>
      </w:r>
      <w:r w:rsidRPr="00A94F9E">
        <w:rPr>
          <w:sz w:val="28"/>
          <w:szCs w:val="28"/>
          <w:lang w:val="pl-PL"/>
        </w:rPr>
        <w:t>.pielikums</w:t>
      </w:r>
    </w:p>
    <w:p w:rsidR="00233B0F" w:rsidRPr="00A94F9E" w:rsidRDefault="00233B0F" w:rsidP="00233B0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233B0F" w:rsidRPr="00A94F9E" w:rsidRDefault="00233B0F" w:rsidP="00233B0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AA71B9">
        <w:rPr>
          <w:sz w:val="28"/>
          <w:szCs w:val="28"/>
          <w:lang w:val="pl-PL"/>
        </w:rPr>
        <w:t> 20. decembra</w:t>
      </w:r>
    </w:p>
    <w:p w:rsidR="00233B0F" w:rsidRPr="00A94F9E" w:rsidRDefault="00233B0F" w:rsidP="00233B0F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AA71B9">
        <w:rPr>
          <w:sz w:val="28"/>
          <w:szCs w:val="28"/>
          <w:lang w:val="pl-PL"/>
        </w:rPr>
        <w:t> 812</w:t>
      </w:r>
    </w:p>
    <w:p w:rsidR="00233B0F" w:rsidRPr="00A94F9E" w:rsidRDefault="00233B0F" w:rsidP="00233B0F">
      <w:pPr>
        <w:tabs>
          <w:tab w:val="right" w:pos="9992"/>
        </w:tabs>
        <w:jc w:val="right"/>
        <w:rPr>
          <w:sz w:val="28"/>
          <w:szCs w:val="28"/>
        </w:rPr>
      </w:pPr>
    </w:p>
    <w:p w:rsidR="00233B0F" w:rsidRPr="00A94F9E" w:rsidRDefault="00233B0F" w:rsidP="00233B0F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2-apgrozījums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apgrozījumu</w:t>
      </w:r>
      <w:r w:rsidRPr="00A94F9E">
        <w:rPr>
          <w:sz w:val="28"/>
          <w:szCs w:val="28"/>
          <w:lang w:val="pl-PL"/>
        </w:rPr>
        <w:t>” paraugs.</w:t>
      </w:r>
    </w:p>
    <w:p w:rsidR="00233B0F" w:rsidRDefault="00233B0F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823C79" w:rsidRPr="00F33BEF" w:rsidTr="00067525">
        <w:trPr>
          <w:trHeight w:val="1080"/>
        </w:trPr>
        <w:tc>
          <w:tcPr>
            <w:tcW w:w="6521" w:type="dxa"/>
            <w:gridSpan w:val="7"/>
            <w:vAlign w:val="center"/>
          </w:tcPr>
          <w:p w:rsidR="00823C79" w:rsidRPr="00F33BEF" w:rsidRDefault="00823C79" w:rsidP="00823C7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823C79" w:rsidRPr="00F33BEF" w:rsidRDefault="00823C7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BD00A2" w:rsidRPr="00D4067E" w:rsidRDefault="00BD00A2" w:rsidP="00BD00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D00A2" w:rsidRPr="006A2ECF" w:rsidRDefault="00BD00A2" w:rsidP="00BD00A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BD00A2" w:rsidRPr="006A2ECF" w:rsidRDefault="00BD00A2" w:rsidP="00BD00A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823C79" w:rsidRPr="00C3208E" w:rsidRDefault="00BD00A2" w:rsidP="00BD00A2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4703B" w:rsidRPr="00F33BEF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CD4AE7" w:rsidRDefault="00C3208E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76923C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76923C"/>
                <w:sz w:val="40"/>
                <w:szCs w:val="40"/>
              </w:rPr>
              <w:t>2</w:t>
            </w:r>
            <w:r w:rsidR="008625F9" w:rsidRPr="00CD4AE7">
              <w:rPr>
                <w:rFonts w:ascii="Calibri" w:hAnsi="Calibri" w:cs="Calibri"/>
                <w:b/>
                <w:i/>
                <w:iCs/>
                <w:color w:val="76923C"/>
                <w:sz w:val="40"/>
                <w:szCs w:val="40"/>
              </w:rPr>
              <w:t>-apgrozījums</w:t>
            </w:r>
          </w:p>
          <w:p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CD4AE7">
              <w:rPr>
                <w:rFonts w:ascii="Calibri" w:hAnsi="Calibri" w:cs="Calibri"/>
                <w:b/>
                <w:i/>
                <w:color w:val="76923C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9F64B2" w:rsidRDefault="008625F9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625F9">
              <w:rPr>
                <w:rFonts w:ascii="Calibri" w:hAnsi="Calibri"/>
                <w:b/>
                <w:sz w:val="32"/>
                <w:szCs w:val="32"/>
              </w:rPr>
              <w:t>Pārskats par apgrozījumu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F33BEF" w:rsidRDefault="004D2FB2" w:rsidP="0048161E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8F64BE">
              <w:rPr>
                <w:rFonts w:ascii="Calibri" w:hAnsi="Calibri"/>
                <w:b/>
                <w:i/>
                <w:szCs w:val="24"/>
              </w:rPr>
              <w:t>līdz</w:t>
            </w:r>
            <w:r w:rsidR="00C3208E" w:rsidRPr="008F64B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48161E">
              <w:rPr>
                <w:rFonts w:ascii="Calibri" w:hAnsi="Calibri"/>
                <w:b/>
                <w:i/>
                <w:szCs w:val="24"/>
              </w:rPr>
              <w:t>__</w:t>
            </w:r>
            <w:r w:rsidRPr="00570E44">
              <w:rPr>
                <w:rFonts w:ascii="Calibri" w:hAnsi="Calibri"/>
                <w:b/>
                <w:i/>
                <w:szCs w:val="24"/>
              </w:rPr>
              <w:t>.</w:t>
            </w:r>
            <w:r w:rsidR="00C2048F" w:rsidRPr="00570E44">
              <w:rPr>
                <w:rFonts w:ascii="Calibri" w:hAnsi="Calibri"/>
                <w:b/>
                <w:i/>
                <w:szCs w:val="24"/>
              </w:rPr>
              <w:t> </w:t>
            </w:r>
            <w:r w:rsidRPr="00570E44">
              <w:rPr>
                <w:rFonts w:ascii="Calibri" w:hAnsi="Calibri"/>
                <w:b/>
                <w:i/>
                <w:szCs w:val="24"/>
              </w:rPr>
              <w:t>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F33BEF" w:rsidRDefault="003D0759" w:rsidP="0048161E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570E44">
              <w:rPr>
                <w:rFonts w:ascii="Calibri" w:hAnsi="Calibri"/>
                <w:b/>
                <w:iCs/>
                <w:szCs w:val="24"/>
              </w:rPr>
              <w:t>20</w:t>
            </w:r>
            <w:r w:rsidR="0048161E">
              <w:rPr>
                <w:rFonts w:ascii="Calibri" w:hAnsi="Calibri"/>
                <w:b/>
                <w:iCs/>
                <w:szCs w:val="24"/>
              </w:rPr>
              <w:t>__</w:t>
            </w:r>
            <w:r w:rsidR="00D212BF" w:rsidRPr="00570E44">
              <w:rPr>
                <w:rFonts w:ascii="Calibri" w:hAnsi="Calibri"/>
                <w:b/>
                <w:iCs/>
                <w:szCs w:val="24"/>
              </w:rPr>
              <w:t>.</w:t>
            </w:r>
            <w:r w:rsidR="00C2048F" w:rsidRPr="00570E44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570E44">
              <w:rPr>
                <w:rFonts w:ascii="Calibri" w:hAnsi="Calibri"/>
                <w:b/>
                <w:iCs/>
                <w:szCs w:val="24"/>
              </w:rPr>
              <w:t>gada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 xml:space="preserve">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84247B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84247B" w:rsidRPr="0084247B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84247B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48161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48161E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2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517FE7" w:rsidRPr="00F33BEF" w:rsidTr="00F14D3A">
        <w:trPr>
          <w:trHeight w:val="700"/>
        </w:trPr>
        <w:tc>
          <w:tcPr>
            <w:tcW w:w="851" w:type="dxa"/>
            <w:vAlign w:val="center"/>
          </w:tcPr>
          <w:p w:rsidR="00517FE7" w:rsidRPr="00F33BEF" w:rsidRDefault="009671CD" w:rsidP="00692ED2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517FE7" w:rsidRPr="00AE6FD0" w:rsidRDefault="00234391" w:rsidP="00A768F3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FD0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  <w:tc>
          <w:tcPr>
            <w:tcW w:w="9639" w:type="dxa"/>
            <w:vAlign w:val="center"/>
          </w:tcPr>
          <w:p w:rsidR="00517FE7" w:rsidRPr="00D078F2" w:rsidRDefault="00517FE7" w:rsidP="009E45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17FE7" w:rsidRPr="00F33BEF" w:rsidTr="00F14D3A">
        <w:trPr>
          <w:trHeight w:val="700"/>
        </w:trPr>
        <w:tc>
          <w:tcPr>
            <w:tcW w:w="851" w:type="dxa"/>
            <w:vAlign w:val="center"/>
          </w:tcPr>
          <w:p w:rsidR="00517FE7" w:rsidRPr="00F33BEF" w:rsidRDefault="009671CD" w:rsidP="00692ED2">
            <w:pPr>
              <w:spacing w:before="120"/>
              <w:jc w:val="center"/>
            </w:pPr>
            <w:r>
              <w:rPr>
                <w:noProof/>
              </w:rPr>
            </w:r>
            <w:r>
              <w:pict>
                <v:roundrect id="AutoShape 11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517FE7" w:rsidRPr="00E67D05" w:rsidRDefault="00517FE7" w:rsidP="00A768F3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639" w:type="dxa"/>
            <w:vAlign w:val="center"/>
          </w:tcPr>
          <w:p w:rsidR="00517FE7" w:rsidRPr="00D078F2" w:rsidRDefault="00517FE7" w:rsidP="009E45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943B5" w:rsidRPr="006943B5" w:rsidRDefault="006943B5" w:rsidP="008625F9">
      <w:pPr>
        <w:spacing w:before="240"/>
        <w:jc w:val="center"/>
        <w:rPr>
          <w:rFonts w:ascii="Calibri" w:hAnsi="Calibri" w:cs="Calibri"/>
          <w:sz w:val="20"/>
        </w:rPr>
      </w:pPr>
      <w:r w:rsidRPr="00F33BEF">
        <w:rPr>
          <w:rFonts w:ascii="Calibri" w:hAnsi="Calibri"/>
          <w:b/>
          <w:iCs/>
          <w:sz w:val="22"/>
          <w:szCs w:val="22"/>
        </w:rPr>
        <w:t>Centrālā statisti</w:t>
      </w:r>
      <w:r w:rsidR="001E1D51">
        <w:rPr>
          <w:rFonts w:ascii="Calibri" w:hAnsi="Calibri"/>
          <w:b/>
          <w:iCs/>
          <w:sz w:val="22"/>
          <w:szCs w:val="22"/>
        </w:rPr>
        <w:t>kas pārvalde saskaņā ar 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10490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24"/>
        <w:gridCol w:w="1701"/>
        <w:gridCol w:w="4537"/>
      </w:tblGrid>
      <w:tr w:rsidR="00C3208E" w:rsidRPr="008625F9" w:rsidTr="00340739">
        <w:trPr>
          <w:cantSplit/>
        </w:trPr>
        <w:tc>
          <w:tcPr>
            <w:tcW w:w="352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B534D5" w:rsidRDefault="006943B5" w:rsidP="00261255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Cs w:val="24"/>
              </w:rPr>
              <w:br w:type="column"/>
            </w:r>
          </w:p>
        </w:tc>
        <w:tc>
          <w:tcPr>
            <w:tcW w:w="7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B534D5" w:rsidRDefault="00C3208E" w:rsidP="00340739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Rindas</w:t>
            </w:r>
            <w:r w:rsidRPr="00B534D5">
              <w:rPr>
                <w:rFonts w:ascii="Calibri" w:hAnsi="Calibri" w:cs="Calibri"/>
                <w:sz w:val="20"/>
              </w:rPr>
              <w:br/>
              <w:t>kods</w:t>
            </w:r>
          </w:p>
        </w:tc>
        <w:tc>
          <w:tcPr>
            <w:tcW w:w="170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B534D5" w:rsidRDefault="00C3208E" w:rsidP="00BF7EA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Pārskata mēnesī</w:t>
            </w:r>
            <w:r w:rsidRPr="00B534D5">
              <w:rPr>
                <w:rFonts w:ascii="Calibri" w:hAnsi="Calibri" w:cs="Calibri"/>
                <w:sz w:val="20"/>
              </w:rPr>
              <w:br/>
              <w:t>(</w:t>
            </w:r>
            <w:r w:rsidRPr="00BF7EA8">
              <w:rPr>
                <w:rFonts w:ascii="Calibri" w:hAnsi="Calibri" w:cs="Calibri"/>
                <w:i/>
                <w:sz w:val="20"/>
              </w:rPr>
              <w:t>euro</w:t>
            </w:r>
            <w:r w:rsidRPr="00B534D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7" w:type="dxa"/>
            <w:tcBorders>
              <w:top w:val="single" w:sz="12" w:space="0" w:color="76923C"/>
              <w:bottom w:val="single" w:sz="6" w:space="0" w:color="76923C"/>
            </w:tcBorders>
          </w:tcPr>
          <w:p w:rsidR="00C3208E" w:rsidRDefault="00C3208E" w:rsidP="00BF7EA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  <w:p w:rsidR="00C3208E" w:rsidRPr="00B534D5" w:rsidRDefault="00C3208E" w:rsidP="00BF7EA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Paskaidrojumi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C3208E" w:rsidRPr="00B534D5" w:rsidRDefault="00C3208E" w:rsidP="00261255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724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C3208E" w:rsidRPr="00B534D5" w:rsidRDefault="00C3208E" w:rsidP="00261255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C3208E" w:rsidRPr="00B534D5" w:rsidRDefault="00C3208E" w:rsidP="00261255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4537" w:type="dxa"/>
            <w:tcBorders>
              <w:top w:val="single" w:sz="6" w:space="0" w:color="76923C"/>
              <w:bottom w:val="single" w:sz="12" w:space="0" w:color="76923C"/>
            </w:tcBorders>
          </w:tcPr>
          <w:p w:rsidR="00C3208E" w:rsidRPr="00B534D5" w:rsidRDefault="00C3208E" w:rsidP="00261255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3208E" w:rsidRPr="008625F9" w:rsidTr="00340739">
        <w:trPr>
          <w:cantSplit/>
        </w:trPr>
        <w:tc>
          <w:tcPr>
            <w:tcW w:w="352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1F0CCF" w:rsidRDefault="00C3208E" w:rsidP="00C3208E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Neto apgrozījums – kopā uzņēmumā</w:t>
            </w:r>
          </w:p>
          <w:p w:rsidR="00C3208E" w:rsidRPr="00B534D5" w:rsidRDefault="00C3208E" w:rsidP="00C3208E">
            <w:pPr>
              <w:rPr>
                <w:rFonts w:ascii="Calibri" w:hAnsi="Calibri" w:cs="Calibri"/>
                <w:sz w:val="20"/>
              </w:rPr>
            </w:pPr>
            <w:r w:rsidRPr="00C3208E">
              <w:rPr>
                <w:rFonts w:ascii="Calibri" w:hAnsi="Calibri" w:cs="Calibri"/>
                <w:sz w:val="22"/>
                <w:szCs w:val="22"/>
              </w:rPr>
              <w:t>(110. līdz 290.</w:t>
            </w:r>
            <w:r w:rsidR="00C2048F">
              <w:rPr>
                <w:rFonts w:ascii="Calibri" w:hAnsi="Calibri" w:cs="Calibri"/>
                <w:sz w:val="22"/>
                <w:szCs w:val="22"/>
              </w:rPr>
              <w:t> </w:t>
            </w:r>
            <w:r w:rsidRPr="00C3208E">
              <w:rPr>
                <w:rFonts w:ascii="Calibri" w:hAnsi="Calibri" w:cs="Calibri"/>
                <w:sz w:val="22"/>
                <w:szCs w:val="22"/>
              </w:rPr>
              <w:t>rindas summa)</w:t>
            </w:r>
          </w:p>
        </w:tc>
        <w:tc>
          <w:tcPr>
            <w:tcW w:w="7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76923C"/>
              <w:bottom w:val="single" w:sz="6" w:space="0" w:color="76923C"/>
            </w:tcBorders>
          </w:tcPr>
          <w:p w:rsidR="00C3208E" w:rsidRPr="00D710A0" w:rsidRDefault="00896F3C" w:rsidP="00374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0A0">
              <w:rPr>
                <w:rFonts w:ascii="Calibri" w:hAnsi="Calibri" w:cs="Calibri"/>
                <w:sz w:val="18"/>
              </w:rPr>
              <w:t>Ja Jūsu uzņēmumam bez pamatnozares ir vēl arī citas nozares, bet apgrozījums tajās ir mazāks par 30% no kopējā apgrozījuma, tad šo apgrozījumu var pievienot pamatnozarei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tcBorders>
              <w:top w:val="single" w:sz="6" w:space="0" w:color="76923C"/>
              <w:bottom w:val="nil"/>
            </w:tcBorders>
            <w:vAlign w:val="center"/>
          </w:tcPr>
          <w:p w:rsidR="00C3208E" w:rsidRPr="001F0CCF" w:rsidRDefault="00C3208E" w:rsidP="000676E2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iCs/>
                <w:sz w:val="22"/>
                <w:szCs w:val="22"/>
              </w:rPr>
              <w:t>tai skaitā:</w:t>
            </w:r>
          </w:p>
        </w:tc>
        <w:tc>
          <w:tcPr>
            <w:tcW w:w="724" w:type="dxa"/>
            <w:tcBorders>
              <w:top w:val="single" w:sz="6" w:space="0" w:color="76923C"/>
              <w:bottom w:val="nil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76923C"/>
              <w:bottom w:val="nil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76923C"/>
              <w:bottom w:val="nil"/>
            </w:tcBorders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08E" w:rsidRPr="008625F9" w:rsidTr="00340739">
        <w:trPr>
          <w:cantSplit/>
        </w:trPr>
        <w:tc>
          <w:tcPr>
            <w:tcW w:w="3528" w:type="dxa"/>
            <w:tcBorders>
              <w:top w:val="nil"/>
            </w:tcBorders>
            <w:vAlign w:val="center"/>
          </w:tcPr>
          <w:p w:rsidR="00C3208E" w:rsidRDefault="00C3208E" w:rsidP="000676E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transports un uzglabāšana</w:t>
            </w:r>
          </w:p>
          <w:p w:rsidR="00C3208E" w:rsidRPr="001F0CCF" w:rsidRDefault="00C3208E" w:rsidP="000676E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D3E11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FD3E11">
              <w:rPr>
                <w:rFonts w:ascii="Calibri" w:hAnsi="Calibri" w:cs="Calibri"/>
                <w:sz w:val="20"/>
                <w:szCs w:val="22"/>
              </w:rPr>
              <w:t>red. 49; 50; 51; 52)</w:t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C3208E" w:rsidRPr="00B534D5" w:rsidRDefault="00FD3E11" w:rsidP="00FD3E11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>Sauszemes transports un cauruļvadu transports, ūdens transports, gaisa transports, uzglabāšanas un transporta palīgdarbības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informatīvo un kultūras produktu izstrāde un izplatīšana</w:t>
            </w:r>
          </w:p>
          <w:p w:rsidR="00C3208E" w:rsidRPr="00B534D5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D3E11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FD3E11">
              <w:rPr>
                <w:rFonts w:ascii="Calibri" w:hAnsi="Calibri" w:cs="Calibri"/>
                <w:sz w:val="20"/>
                <w:szCs w:val="22"/>
              </w:rPr>
              <w:t>red. 58; 59; 60)</w:t>
            </w:r>
          </w:p>
        </w:tc>
        <w:tc>
          <w:tcPr>
            <w:tcW w:w="724" w:type="dxa"/>
            <w:vAlign w:val="center"/>
          </w:tcPr>
          <w:p w:rsidR="00C3208E" w:rsidRPr="00B534D5" w:rsidRDefault="00C3208E" w:rsidP="00FD3E11">
            <w:pPr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1</w:t>
            </w:r>
            <w:r w:rsidR="00FD3E11">
              <w:rPr>
                <w:rFonts w:ascii="Calibri" w:hAnsi="Calibri" w:cs="Calibri"/>
                <w:sz w:val="20"/>
              </w:rPr>
              <w:t>2</w:t>
            </w:r>
            <w:r w:rsidRPr="00B534D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FD3E11" w:rsidP="00FD3E11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>Izdevējdarbība: grāmatu, periodisku izdevumu izdošana un citi izdevējdarbības pakalpojumi; datorprogrammatūras tiražēšana; kino un videofilmu, televīzijas programmu un skaņu ierakstu producēšana; radio un televīzijas programmu izstrāde un apraide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telekomunikācijas, dato</w:t>
            </w:r>
            <w:r w:rsidR="00A855A6">
              <w:rPr>
                <w:rFonts w:ascii="Calibri" w:hAnsi="Calibri" w:cs="Calibri"/>
                <w:sz w:val="22"/>
                <w:szCs w:val="22"/>
              </w:rPr>
              <w:t xml:space="preserve">rprogrammēšana, </w:t>
            </w:r>
            <w:r w:rsidRPr="001F0CCF">
              <w:rPr>
                <w:rFonts w:ascii="Calibri" w:hAnsi="Calibri" w:cs="Calibri"/>
                <w:sz w:val="22"/>
                <w:szCs w:val="22"/>
              </w:rPr>
              <w:t>citi informāciju pakalpojumi</w:t>
            </w:r>
          </w:p>
          <w:p w:rsidR="00C3208E" w:rsidRPr="00B534D5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D3E11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FD3E11">
              <w:rPr>
                <w:rFonts w:ascii="Calibri" w:hAnsi="Calibri" w:cs="Calibri"/>
                <w:sz w:val="20"/>
                <w:szCs w:val="22"/>
              </w:rPr>
              <w:t>red. 61; 62; 63)</w:t>
            </w:r>
          </w:p>
        </w:tc>
        <w:tc>
          <w:tcPr>
            <w:tcW w:w="724" w:type="dxa"/>
            <w:vAlign w:val="center"/>
          </w:tcPr>
          <w:p w:rsidR="00C3208E" w:rsidRPr="00B534D5" w:rsidRDefault="00C3208E" w:rsidP="00FD3E11">
            <w:pPr>
              <w:jc w:val="center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1</w:t>
            </w:r>
            <w:r w:rsidR="00FD3E11">
              <w:rPr>
                <w:rFonts w:ascii="Calibri" w:hAnsi="Calibri" w:cs="Calibri"/>
                <w:sz w:val="20"/>
              </w:rPr>
              <w:t>3</w:t>
            </w:r>
            <w:r w:rsidRPr="00B534D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FD3E11" w:rsidP="00DC3D52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 xml:space="preserve">Kabeļu, bezvada un pavadoņu telekomunikācijas; datorprogrammēšana, konsultēšana datoru </w:t>
            </w:r>
            <w:r w:rsidR="00DC3D52">
              <w:rPr>
                <w:rFonts w:ascii="Calibri" w:hAnsi="Calibri" w:cs="Calibri"/>
                <w:sz w:val="18"/>
              </w:rPr>
              <w:t>pie</w:t>
            </w:r>
            <w:r w:rsidRPr="001F0CCF">
              <w:rPr>
                <w:rFonts w:ascii="Calibri" w:hAnsi="Calibri" w:cs="Calibri"/>
                <w:sz w:val="18"/>
              </w:rPr>
              <w:t>lieto</w:t>
            </w:r>
            <w:r w:rsidR="00DC3D52">
              <w:rPr>
                <w:rFonts w:ascii="Calibri" w:hAnsi="Calibri" w:cs="Calibri"/>
                <w:sz w:val="18"/>
              </w:rPr>
              <w:t>jumu</w:t>
            </w:r>
            <w:r w:rsidRPr="001F0CCF">
              <w:rPr>
                <w:rFonts w:ascii="Calibri" w:hAnsi="Calibri" w:cs="Calibri"/>
                <w:sz w:val="18"/>
              </w:rPr>
              <w:t xml:space="preserve"> jautājumos; datu apstrāde, uzturēšana un saistītas darbības; interneta portālu darbība; ziņu aģentūru darbība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pStyle w:val="BodyTextIndent"/>
              <w:ind w:left="170"/>
              <w:rPr>
                <w:rFonts w:ascii="Calibri" w:hAnsi="Calibri" w:cs="Calibri"/>
                <w:szCs w:val="22"/>
              </w:rPr>
            </w:pPr>
            <w:r w:rsidRPr="001F0CCF">
              <w:rPr>
                <w:rFonts w:ascii="Calibri" w:hAnsi="Calibri" w:cs="Calibri"/>
                <w:szCs w:val="22"/>
              </w:rPr>
              <w:t xml:space="preserve">operācijas ar nekustamo īpašumu </w:t>
            </w:r>
          </w:p>
          <w:p w:rsidR="00C3208E" w:rsidRPr="001F0CCF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92ABD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592ABD">
              <w:rPr>
                <w:rFonts w:ascii="Calibri" w:hAnsi="Calibri" w:cs="Calibri"/>
                <w:sz w:val="20"/>
                <w:szCs w:val="22"/>
              </w:rPr>
              <w:t>red. 68)</w:t>
            </w:r>
          </w:p>
        </w:tc>
        <w:tc>
          <w:tcPr>
            <w:tcW w:w="724" w:type="dxa"/>
            <w:vAlign w:val="center"/>
          </w:tcPr>
          <w:p w:rsidR="00C3208E" w:rsidRPr="00B534D5" w:rsidRDefault="00FD3E11" w:rsidP="0026125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FD3E11" w:rsidP="00FD3E11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>Nekustamā īpašuma pirkšana, pārdošana, izīrēšana, pārvaldīšana; darbības ar nekustamo īpašumu uz līguma pamata vai par atlīdzību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profesionālie un tehniskie pakalpojumi</w:t>
            </w:r>
          </w:p>
          <w:p w:rsidR="00C3208E" w:rsidRPr="001F0CCF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92ABD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592ABD">
              <w:rPr>
                <w:rFonts w:ascii="Calibri" w:hAnsi="Calibri" w:cs="Calibri"/>
                <w:sz w:val="20"/>
                <w:szCs w:val="22"/>
              </w:rPr>
              <w:t>red. 69; 70; 71; 73; 74)</w:t>
            </w:r>
          </w:p>
        </w:tc>
        <w:tc>
          <w:tcPr>
            <w:tcW w:w="724" w:type="dxa"/>
            <w:vAlign w:val="center"/>
          </w:tcPr>
          <w:p w:rsidR="00C3208E" w:rsidRPr="00B534D5" w:rsidRDefault="00FD3E11" w:rsidP="0026125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FD3E11" w:rsidP="00FD3E11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>Juridiskie un grāmatvedības pakalpojumi; arhitektūras un inženiertehniskie pakalpojumi; tehniskā pārbaude un analīze; konsultēšana komercdarbībā un vadībzinībās; reklāmas un tirgus izpētes darbības; foto pakalpojumi; tulkošanas un tulku pakalpojumi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administratīvo un apkalpojošo dienestu darbība</w:t>
            </w:r>
          </w:p>
          <w:p w:rsidR="00C3208E" w:rsidRPr="001F0CCF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92ABD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592ABD">
              <w:rPr>
                <w:rFonts w:ascii="Calibri" w:hAnsi="Calibri" w:cs="Calibri"/>
                <w:sz w:val="20"/>
                <w:szCs w:val="22"/>
              </w:rPr>
              <w:t>red. 77; 78; 79; 80; 81; 82)</w:t>
            </w:r>
          </w:p>
        </w:tc>
        <w:tc>
          <w:tcPr>
            <w:tcW w:w="724" w:type="dxa"/>
            <w:vAlign w:val="center"/>
          </w:tcPr>
          <w:p w:rsidR="00C3208E" w:rsidRPr="00B534D5" w:rsidRDefault="00FD3E11" w:rsidP="0026125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FD3E11" w:rsidP="000664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</w:rPr>
              <w:t xml:space="preserve">Iznomāšana un </w:t>
            </w:r>
            <w:r w:rsidR="0006648D">
              <w:rPr>
                <w:rFonts w:ascii="Calibri" w:hAnsi="Calibri" w:cs="Calibri"/>
                <w:sz w:val="18"/>
              </w:rPr>
              <w:t>ekspluatācijas</w:t>
            </w:r>
            <w:r>
              <w:rPr>
                <w:rFonts w:ascii="Calibri" w:hAnsi="Calibri" w:cs="Calibri"/>
                <w:sz w:val="18"/>
              </w:rPr>
              <w:t xml:space="preserve"> līzings; </w:t>
            </w:r>
            <w:r w:rsidR="00C2048F">
              <w:rPr>
                <w:rFonts w:ascii="Calibri" w:hAnsi="Calibri" w:cs="Calibri"/>
                <w:sz w:val="18"/>
              </w:rPr>
              <w:t>d</w:t>
            </w:r>
            <w:r w:rsidRPr="001F0CCF">
              <w:rPr>
                <w:rFonts w:ascii="Calibri" w:hAnsi="Calibri" w:cs="Calibri"/>
                <w:sz w:val="18"/>
              </w:rPr>
              <w:t>arbaspēka meklēšana un nodrošināšana ar personālu; ceļojumu biroju un tūrisma operatoru pakalpojumi; apsardzes pakalpojumi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1F0CCF">
              <w:rPr>
                <w:rFonts w:ascii="Calibri" w:hAnsi="Calibri" w:cs="Calibri"/>
                <w:sz w:val="18"/>
              </w:rPr>
              <w:t xml:space="preserve">un izmeklēšana; ēku uzturēšanas, uzkopšanas darbības; ainavu veidošanas darbības; biroju administratīvās darbības un citas </w:t>
            </w:r>
            <w:r w:rsidRPr="001F0CCF">
              <w:rPr>
                <w:rFonts w:ascii="Calibri" w:hAnsi="Calibri" w:cs="Calibri"/>
                <w:b/>
                <w:sz w:val="18"/>
              </w:rPr>
              <w:t>komersantu</w:t>
            </w:r>
            <w:r w:rsidRPr="001F0CCF">
              <w:rPr>
                <w:rFonts w:ascii="Calibri" w:hAnsi="Calibri" w:cs="Calibri"/>
                <w:sz w:val="18"/>
              </w:rPr>
              <w:t xml:space="preserve"> palīgdarbības</w:t>
            </w:r>
          </w:p>
        </w:tc>
      </w:tr>
      <w:tr w:rsidR="00C3208E" w:rsidRPr="008625F9" w:rsidTr="00340739">
        <w:trPr>
          <w:cantSplit/>
        </w:trPr>
        <w:tc>
          <w:tcPr>
            <w:tcW w:w="3528" w:type="dxa"/>
            <w:vAlign w:val="center"/>
          </w:tcPr>
          <w:p w:rsidR="00C3208E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pasta un kurjeru darbība</w:t>
            </w:r>
          </w:p>
          <w:p w:rsidR="00C3208E" w:rsidRPr="001F0CCF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92ABD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592ABD">
              <w:rPr>
                <w:rFonts w:ascii="Calibri" w:hAnsi="Calibri" w:cs="Calibri"/>
                <w:sz w:val="20"/>
                <w:szCs w:val="22"/>
              </w:rPr>
              <w:t>red. 53)</w:t>
            </w:r>
          </w:p>
        </w:tc>
        <w:tc>
          <w:tcPr>
            <w:tcW w:w="724" w:type="dxa"/>
            <w:vAlign w:val="center"/>
          </w:tcPr>
          <w:p w:rsidR="00C3208E" w:rsidRPr="00B534D5" w:rsidRDefault="00FD3E11" w:rsidP="0026125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3E11" w:rsidRPr="008625F9" w:rsidTr="00340739">
        <w:trPr>
          <w:cantSplit/>
        </w:trPr>
        <w:tc>
          <w:tcPr>
            <w:tcW w:w="3528" w:type="dxa"/>
            <w:vAlign w:val="center"/>
          </w:tcPr>
          <w:p w:rsidR="00D65818" w:rsidRDefault="00D65818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viesnīcas, kempingi, viesu mājas u.c. īslaicīgas apmešanās vietas</w:t>
            </w:r>
          </w:p>
          <w:p w:rsidR="00D65818" w:rsidRPr="001F0CCF" w:rsidRDefault="00D65818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5818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D65818">
              <w:rPr>
                <w:rFonts w:ascii="Calibri" w:hAnsi="Calibri" w:cs="Calibri"/>
                <w:sz w:val="20"/>
                <w:szCs w:val="22"/>
              </w:rPr>
              <w:t>red. 55)</w:t>
            </w:r>
          </w:p>
        </w:tc>
        <w:tc>
          <w:tcPr>
            <w:tcW w:w="724" w:type="dxa"/>
            <w:vAlign w:val="center"/>
          </w:tcPr>
          <w:p w:rsidR="00FD3E11" w:rsidRDefault="00D65818" w:rsidP="0026125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FD3E11" w:rsidRPr="00B534D5" w:rsidRDefault="00FD3E11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FD3E11" w:rsidRPr="00B534D5" w:rsidRDefault="00FD3E11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818" w:rsidRPr="008625F9" w:rsidTr="00340739">
        <w:trPr>
          <w:cantSplit/>
        </w:trPr>
        <w:tc>
          <w:tcPr>
            <w:tcW w:w="3528" w:type="dxa"/>
            <w:vAlign w:val="center"/>
          </w:tcPr>
          <w:p w:rsidR="00D65818" w:rsidRPr="00D65818" w:rsidRDefault="00D65818" w:rsidP="000676E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5818">
              <w:rPr>
                <w:rFonts w:ascii="Calibri" w:hAnsi="Calibri" w:cs="Calibri"/>
                <w:sz w:val="22"/>
                <w:szCs w:val="22"/>
              </w:rPr>
              <w:t>restorāni, bāri, ēdnīcas u.c. ēdināšanas uzņēmumi</w:t>
            </w:r>
          </w:p>
          <w:p w:rsidR="00D65818" w:rsidRPr="001F0CCF" w:rsidRDefault="00D65818" w:rsidP="000676E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5818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C2048F">
              <w:rPr>
                <w:rFonts w:ascii="Calibri" w:hAnsi="Calibri" w:cs="Calibri"/>
                <w:sz w:val="20"/>
                <w:szCs w:val="22"/>
              </w:rPr>
              <w:t> </w:t>
            </w:r>
            <w:r w:rsidRPr="00D65818">
              <w:rPr>
                <w:rFonts w:ascii="Calibri" w:hAnsi="Calibri" w:cs="Calibri"/>
                <w:sz w:val="20"/>
                <w:szCs w:val="22"/>
              </w:rPr>
              <w:t>red. 56)</w:t>
            </w:r>
          </w:p>
        </w:tc>
        <w:tc>
          <w:tcPr>
            <w:tcW w:w="724" w:type="dxa"/>
            <w:vAlign w:val="center"/>
          </w:tcPr>
          <w:p w:rsidR="00D65818" w:rsidRDefault="00D65818" w:rsidP="000676E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190</w:t>
            </w:r>
          </w:p>
        </w:tc>
        <w:tc>
          <w:tcPr>
            <w:tcW w:w="1701" w:type="dxa"/>
            <w:vAlign w:val="center"/>
          </w:tcPr>
          <w:p w:rsidR="00D65818" w:rsidRPr="00B534D5" w:rsidRDefault="00D65818" w:rsidP="000676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</w:tcPr>
          <w:p w:rsidR="00D65818" w:rsidRPr="00B534D5" w:rsidRDefault="00D65818" w:rsidP="000676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08E" w:rsidRPr="008625F9" w:rsidTr="00340739">
        <w:trPr>
          <w:cantSplit/>
          <w:trHeight w:val="438"/>
        </w:trPr>
        <w:tc>
          <w:tcPr>
            <w:tcW w:w="3528" w:type="dxa"/>
            <w:vAlign w:val="center"/>
          </w:tcPr>
          <w:p w:rsidR="00C3208E" w:rsidRPr="001F0CCF" w:rsidRDefault="00C3208E" w:rsidP="00C3208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22"/>
                <w:szCs w:val="22"/>
              </w:rPr>
              <w:t>citas nozares</w:t>
            </w:r>
          </w:p>
        </w:tc>
        <w:tc>
          <w:tcPr>
            <w:tcW w:w="724" w:type="dxa"/>
            <w:vAlign w:val="center"/>
          </w:tcPr>
          <w:p w:rsidR="00C3208E" w:rsidRPr="00B534D5" w:rsidRDefault="00FD3E11" w:rsidP="00261255">
            <w:pPr>
              <w:jc w:val="center"/>
              <w:rPr>
                <w:rFonts w:ascii="Calibri" w:hAnsi="Calibri" w:cs="Calibri"/>
                <w:sz w:val="20"/>
              </w:rPr>
            </w:pPr>
            <w:r w:rsidRPr="008F64BE">
              <w:rPr>
                <w:rFonts w:ascii="Calibri" w:hAnsi="Calibri" w:cs="Calibri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C3208E" w:rsidRPr="00B534D5" w:rsidRDefault="00C3208E" w:rsidP="00261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C3208E" w:rsidRPr="00B534D5" w:rsidRDefault="00374F90" w:rsidP="00374F90">
            <w:pPr>
              <w:rPr>
                <w:rFonts w:ascii="Calibri" w:hAnsi="Calibri" w:cs="Calibri"/>
                <w:sz w:val="22"/>
                <w:szCs w:val="22"/>
              </w:rPr>
            </w:pPr>
            <w:r w:rsidRPr="001F0CCF">
              <w:rPr>
                <w:rFonts w:ascii="Calibri" w:hAnsi="Calibri" w:cs="Calibri"/>
                <w:sz w:val="18"/>
              </w:rPr>
              <w:t>Ieņēmumi, kas iekļauti neto apgrozījumā</w:t>
            </w:r>
          </w:p>
        </w:tc>
      </w:tr>
    </w:tbl>
    <w:p w:rsidR="008625F9" w:rsidRPr="00B534D5" w:rsidRDefault="008625F9" w:rsidP="008625F9">
      <w:pPr>
        <w:spacing w:after="20"/>
        <w:ind w:left="-28" w:right="284" w:firstLine="28"/>
        <w:jc w:val="both"/>
        <w:rPr>
          <w:rFonts w:ascii="Calibri" w:hAnsi="Calibri" w:cs="Calibri"/>
          <w:i/>
          <w:iCs/>
          <w:sz w:val="22"/>
          <w:szCs w:val="22"/>
        </w:rPr>
      </w:pPr>
      <w:r w:rsidRPr="00B534D5">
        <w:rPr>
          <w:rFonts w:ascii="Calibri" w:hAnsi="Calibri" w:cs="Calibri"/>
          <w:i/>
          <w:iCs/>
          <w:sz w:val="22"/>
          <w:szCs w:val="22"/>
        </w:rPr>
        <w:t>Paskaidrojumi</w:t>
      </w:r>
    </w:p>
    <w:tbl>
      <w:tblPr>
        <w:tblW w:w="10485" w:type="dxa"/>
        <w:tblInd w:w="10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</w:tblBorders>
        <w:tblLook w:val="0000" w:firstRow="0" w:lastRow="0" w:firstColumn="0" w:lastColumn="0" w:noHBand="0" w:noVBand="0"/>
      </w:tblPr>
      <w:tblGrid>
        <w:gridCol w:w="10485"/>
      </w:tblGrid>
      <w:tr w:rsidR="008625F9" w:rsidRPr="008625F9" w:rsidTr="00B534D5">
        <w:trPr>
          <w:trHeight w:val="2581"/>
        </w:trPr>
        <w:tc>
          <w:tcPr>
            <w:tcW w:w="10485" w:type="dxa"/>
            <w:vAlign w:val="center"/>
          </w:tcPr>
          <w:p w:rsidR="008625F9" w:rsidRPr="00B534D5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394FA9">
              <w:rPr>
                <w:rFonts w:ascii="Calibri" w:hAnsi="Calibri" w:cs="Calibri"/>
                <w:sz w:val="20"/>
                <w:u w:val="single"/>
              </w:rPr>
              <w:t>Neto apgrozījums</w:t>
            </w:r>
            <w:r w:rsidRPr="00B534D5">
              <w:rPr>
                <w:rFonts w:ascii="Calibri" w:hAnsi="Calibri" w:cs="Calibri"/>
                <w:sz w:val="20"/>
              </w:rPr>
              <w:t xml:space="preserve"> ir ieņēmumi no preču pārdošanas un pakalpojumu sniegšanas, no kuriem atskaitītas tirdzniecības atlaides, kā arī pievienotās vērtības nodoklis</w:t>
            </w:r>
            <w:r w:rsidR="0083514E" w:rsidRPr="00B534D5">
              <w:rPr>
                <w:rFonts w:ascii="Calibri" w:hAnsi="Calibri" w:cs="Calibri"/>
                <w:sz w:val="20"/>
              </w:rPr>
              <w:t xml:space="preserve"> </w:t>
            </w:r>
            <w:r w:rsidRPr="00B534D5">
              <w:rPr>
                <w:rFonts w:ascii="Calibri" w:hAnsi="Calibri" w:cs="Calibri"/>
                <w:sz w:val="20"/>
              </w:rPr>
              <w:t>(PVN) un citi nodokļi, kas tieši saistīti ar pārdošanu.</w:t>
            </w:r>
          </w:p>
          <w:p w:rsidR="008625F9" w:rsidRPr="00B534D5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 xml:space="preserve">Neto apgrozījumā uzrāda arī to nosūtīto preču norēķinu summas, par kurām samaksa vēl nav saņemta, bet kuru norēķinu dokumenti ir iesniegti pircējiem vai bankai. </w:t>
            </w:r>
          </w:p>
          <w:p w:rsidR="00DC3D52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>Apgrozījumā neieskaita:</w:t>
            </w:r>
          </w:p>
          <w:p w:rsidR="008625F9" w:rsidRPr="00B534D5" w:rsidRDefault="00DC3D52" w:rsidP="00261255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- PVN,</w:t>
            </w:r>
            <w:r w:rsidR="008625F9" w:rsidRPr="00B534D5">
              <w:rPr>
                <w:rFonts w:ascii="Calibri" w:hAnsi="Calibri" w:cs="Calibri"/>
                <w:sz w:val="20"/>
              </w:rPr>
              <w:t xml:space="preserve"> </w:t>
            </w:r>
          </w:p>
          <w:p w:rsidR="008625F9" w:rsidRPr="00B534D5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 xml:space="preserve">  - finanšu ieņēmumus,</w:t>
            </w:r>
          </w:p>
          <w:p w:rsidR="008625F9" w:rsidRPr="00B534D5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 xml:space="preserve">  - ārkārtas ieņēmumus,</w:t>
            </w:r>
          </w:p>
          <w:p w:rsidR="008625F9" w:rsidRPr="00B534D5" w:rsidRDefault="008625F9" w:rsidP="00261255">
            <w:pPr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 xml:space="preserve">  - ieņēmumus no savu pamatlīdzekļu, savām vajadzībām pirkto izejvielu un materiālu pārdošanas, </w:t>
            </w:r>
          </w:p>
          <w:p w:rsidR="008625F9" w:rsidRPr="00B534D5" w:rsidRDefault="008625F9" w:rsidP="00261255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B534D5">
              <w:rPr>
                <w:rFonts w:ascii="Calibri" w:hAnsi="Calibri" w:cs="Calibri"/>
                <w:sz w:val="20"/>
              </w:rPr>
              <w:t xml:space="preserve">  - pārējos saimnieciskās darbības ieņēmumus.</w:t>
            </w:r>
          </w:p>
        </w:tc>
      </w:tr>
    </w:tbl>
    <w:p w:rsidR="008625F9" w:rsidRPr="003A26BF" w:rsidRDefault="008625F9" w:rsidP="008625F9">
      <w:pPr>
        <w:ind w:firstLine="1298"/>
        <w:jc w:val="both"/>
        <w:rPr>
          <w:rFonts w:ascii="Calibri" w:hAnsi="Calibri" w:cs="Calibri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8625F9" w:rsidTr="003A26BF">
        <w:trPr>
          <w:trHeight w:val="476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B534D5" w:rsidRDefault="008E5C9F" w:rsidP="00AE6FD0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534D5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AE6FD0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B534D5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B534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B534D5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B534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:rsidR="000B26E9" w:rsidRPr="00092C7B" w:rsidRDefault="000B26E9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:rsidR="008E5C9F" w:rsidRPr="003A26BF" w:rsidRDefault="008E5C9F" w:rsidP="008E5C9F">
      <w:pPr>
        <w:ind w:right="-86"/>
        <w:rPr>
          <w:rFonts w:ascii="Calibri" w:hAnsi="Calibri" w:cs="Calibri"/>
          <w:sz w:val="4"/>
          <w:szCs w:val="4"/>
        </w:rPr>
      </w:pPr>
    </w:p>
    <w:p w:rsidR="000B26E9" w:rsidRPr="00A94F9E" w:rsidRDefault="000B26E9" w:rsidP="000B26E9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0B26E9" w:rsidRPr="00A94F9E" w:rsidRDefault="000B26E9" w:rsidP="000B26E9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0B26E9" w:rsidRPr="00A94F9E" w:rsidRDefault="000B26E9" w:rsidP="000B26E9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0B26E9" w:rsidRPr="00A94F9E" w:rsidRDefault="000B26E9" w:rsidP="000B26E9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EC0EBC" w:rsidRDefault="00EC0EBC" w:rsidP="00EC0EBC">
      <w:pPr>
        <w:tabs>
          <w:tab w:val="left" w:pos="6804"/>
        </w:tabs>
        <w:ind w:firstLine="720"/>
        <w:rPr>
          <w:sz w:val="28"/>
          <w:szCs w:val="28"/>
        </w:rPr>
      </w:pPr>
    </w:p>
    <w:p w:rsidR="00EC0EBC" w:rsidRDefault="00EC0EBC" w:rsidP="00EC0EBC">
      <w:pPr>
        <w:tabs>
          <w:tab w:val="left" w:pos="6804"/>
        </w:tabs>
        <w:ind w:firstLine="720"/>
        <w:rPr>
          <w:sz w:val="28"/>
          <w:szCs w:val="28"/>
        </w:rPr>
      </w:pPr>
    </w:p>
    <w:p w:rsidR="00EC0EBC" w:rsidRDefault="00EC0EBC" w:rsidP="00EC0EBC">
      <w:pPr>
        <w:tabs>
          <w:tab w:val="left" w:pos="6804"/>
        </w:tabs>
        <w:ind w:firstLine="720"/>
        <w:rPr>
          <w:sz w:val="28"/>
          <w:szCs w:val="28"/>
        </w:rPr>
      </w:pPr>
    </w:p>
    <w:p w:rsidR="00EC0EBC" w:rsidRPr="005D3283" w:rsidRDefault="00EC0EBC" w:rsidP="00EC0EBC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EC0EBC" w:rsidRPr="005D3283" w:rsidRDefault="00EC0EBC" w:rsidP="00EC0EBC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340739" w:rsidRPr="009671CD" w:rsidRDefault="00340739" w:rsidP="00EC0EBC">
      <w:pPr>
        <w:tabs>
          <w:tab w:val="left" w:pos="6804"/>
        </w:tabs>
        <w:ind w:left="360"/>
        <w:rPr>
          <w:rFonts w:ascii="Calibri" w:hAnsi="Calibri" w:cs="Calibri"/>
          <w:b/>
          <w:color w:val="76923C"/>
          <w:szCs w:val="24"/>
          <w:lang w:val="de-DE"/>
        </w:rPr>
      </w:pPr>
    </w:p>
    <w:sectPr w:rsidR="00340739" w:rsidRPr="009671CD" w:rsidSect="00AB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E0" w:rsidRDefault="00957BE0">
      <w:r>
        <w:separator/>
      </w:r>
    </w:p>
  </w:endnote>
  <w:endnote w:type="continuationSeparator" w:id="0">
    <w:p w:rsidR="00957BE0" w:rsidRDefault="009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E7" w:rsidRDefault="00306863" w:rsidP="00E01EE7">
    <w:pPr>
      <w:tabs>
        <w:tab w:val="left" w:pos="4965"/>
      </w:tabs>
    </w:pPr>
    <w:fldSimple w:instr=" FILENAME  \* MERGEFORMAT ">
      <w:r w:rsidR="009E4BA1">
        <w:rPr>
          <w:noProof/>
        </w:rPr>
        <w:t>EMNotp98_101116</w:t>
      </w:r>
    </w:fldSimple>
    <w:r w:rsidR="00E01EE7" w:rsidRPr="004D4092">
      <w:t xml:space="preserve">; </w:t>
    </w:r>
    <w:r w:rsidR="00E01EE7" w:rsidRPr="000C4198">
      <w:t>Grozījumi Ministru kabineta 2006.gada 6.novembra noteikumos Nr.922 “Valsts statistikas pārskatu un anketu veidlapu paraugu apstiprināšanas noteikumi”</w:t>
    </w:r>
  </w:p>
  <w:p w:rsidR="001375EE" w:rsidRPr="00E01EE7" w:rsidRDefault="001375EE" w:rsidP="00E0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BF" w:rsidRPr="005809F1" w:rsidRDefault="00684B47" w:rsidP="005809F1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98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47" w:rsidRDefault="00684B47">
    <w:pPr>
      <w:pStyle w:val="Footer"/>
      <w:rPr>
        <w:sz w:val="16"/>
        <w:szCs w:val="16"/>
      </w:rPr>
    </w:pPr>
  </w:p>
  <w:p w:rsidR="00684B47" w:rsidRDefault="00684B47">
    <w:pPr>
      <w:pStyle w:val="Footer"/>
      <w:rPr>
        <w:sz w:val="16"/>
        <w:szCs w:val="16"/>
      </w:rPr>
    </w:pPr>
  </w:p>
  <w:p w:rsidR="00684B47" w:rsidRDefault="00684B47">
    <w:pPr>
      <w:pStyle w:val="Footer"/>
      <w:rPr>
        <w:sz w:val="16"/>
        <w:szCs w:val="16"/>
      </w:rPr>
    </w:pPr>
  </w:p>
  <w:p w:rsidR="00684B47" w:rsidRDefault="00684B47">
    <w:pPr>
      <w:pStyle w:val="Footer"/>
      <w:rPr>
        <w:sz w:val="16"/>
        <w:szCs w:val="16"/>
      </w:rPr>
    </w:pPr>
  </w:p>
  <w:p w:rsidR="000B26E9" w:rsidRDefault="00684B47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98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E0" w:rsidRDefault="00957BE0">
      <w:r>
        <w:separator/>
      </w:r>
    </w:p>
  </w:footnote>
  <w:footnote w:type="continuationSeparator" w:id="0">
    <w:p w:rsidR="00957BE0" w:rsidRDefault="0095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F1" w:rsidRDefault="0058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6E9" w:rsidRDefault="000B26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BA1">
      <w:rPr>
        <w:noProof/>
      </w:rPr>
      <w:t>3</w:t>
    </w:r>
    <w:r>
      <w:rPr>
        <w:noProof/>
      </w:rPr>
      <w:fldChar w:fldCharType="end"/>
    </w:r>
  </w:p>
  <w:p w:rsidR="000B26E9" w:rsidRDefault="000B2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F1" w:rsidRDefault="00580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01FC"/>
    <w:rsid w:val="000378B8"/>
    <w:rsid w:val="0005033A"/>
    <w:rsid w:val="00062AAD"/>
    <w:rsid w:val="0006648D"/>
    <w:rsid w:val="00067525"/>
    <w:rsid w:val="000676E2"/>
    <w:rsid w:val="0009204F"/>
    <w:rsid w:val="00092C7B"/>
    <w:rsid w:val="000B26E9"/>
    <w:rsid w:val="000C43DC"/>
    <w:rsid w:val="000C44DD"/>
    <w:rsid w:val="000E1DCD"/>
    <w:rsid w:val="000F4207"/>
    <w:rsid w:val="0010097A"/>
    <w:rsid w:val="00100FF7"/>
    <w:rsid w:val="001375EE"/>
    <w:rsid w:val="00140099"/>
    <w:rsid w:val="00145DD9"/>
    <w:rsid w:val="0016738E"/>
    <w:rsid w:val="00167CA0"/>
    <w:rsid w:val="00171131"/>
    <w:rsid w:val="001B2173"/>
    <w:rsid w:val="001E1D51"/>
    <w:rsid w:val="00217A9D"/>
    <w:rsid w:val="002241EF"/>
    <w:rsid w:val="00230A0D"/>
    <w:rsid w:val="00233B0F"/>
    <w:rsid w:val="00234391"/>
    <w:rsid w:val="00236046"/>
    <w:rsid w:val="00251C53"/>
    <w:rsid w:val="002540F0"/>
    <w:rsid w:val="00260757"/>
    <w:rsid w:val="00261255"/>
    <w:rsid w:val="00274D19"/>
    <w:rsid w:val="00282C35"/>
    <w:rsid w:val="002B398D"/>
    <w:rsid w:val="002B50B6"/>
    <w:rsid w:val="002D33C5"/>
    <w:rsid w:val="002E0721"/>
    <w:rsid w:val="002F129B"/>
    <w:rsid w:val="003009BE"/>
    <w:rsid w:val="00306863"/>
    <w:rsid w:val="00340739"/>
    <w:rsid w:val="0034703B"/>
    <w:rsid w:val="00371EBD"/>
    <w:rsid w:val="00374F3F"/>
    <w:rsid w:val="00374F90"/>
    <w:rsid w:val="00383ED6"/>
    <w:rsid w:val="00394FA9"/>
    <w:rsid w:val="003A26BF"/>
    <w:rsid w:val="003D0453"/>
    <w:rsid w:val="003D0759"/>
    <w:rsid w:val="003D125B"/>
    <w:rsid w:val="003E6171"/>
    <w:rsid w:val="00407E6C"/>
    <w:rsid w:val="0042100E"/>
    <w:rsid w:val="00435BB9"/>
    <w:rsid w:val="0045431E"/>
    <w:rsid w:val="00456E44"/>
    <w:rsid w:val="00460576"/>
    <w:rsid w:val="00460809"/>
    <w:rsid w:val="00470C6E"/>
    <w:rsid w:val="0048161E"/>
    <w:rsid w:val="004915CC"/>
    <w:rsid w:val="00494DB3"/>
    <w:rsid w:val="004A1AC2"/>
    <w:rsid w:val="004B38B4"/>
    <w:rsid w:val="004D2FB2"/>
    <w:rsid w:val="004D5216"/>
    <w:rsid w:val="004E0128"/>
    <w:rsid w:val="00513049"/>
    <w:rsid w:val="00513258"/>
    <w:rsid w:val="00517FE7"/>
    <w:rsid w:val="00531F1E"/>
    <w:rsid w:val="00570E44"/>
    <w:rsid w:val="005809F1"/>
    <w:rsid w:val="00586A3E"/>
    <w:rsid w:val="00593404"/>
    <w:rsid w:val="005955DA"/>
    <w:rsid w:val="005C3BE0"/>
    <w:rsid w:val="00603E34"/>
    <w:rsid w:val="00607C19"/>
    <w:rsid w:val="00626301"/>
    <w:rsid w:val="006470D6"/>
    <w:rsid w:val="006653C2"/>
    <w:rsid w:val="0067163B"/>
    <w:rsid w:val="00673B25"/>
    <w:rsid w:val="00683DEF"/>
    <w:rsid w:val="00684B47"/>
    <w:rsid w:val="00686B1E"/>
    <w:rsid w:val="00692ED2"/>
    <w:rsid w:val="006943B5"/>
    <w:rsid w:val="00697F00"/>
    <w:rsid w:val="006A06DB"/>
    <w:rsid w:val="006A1EAF"/>
    <w:rsid w:val="006A25AC"/>
    <w:rsid w:val="006A43BC"/>
    <w:rsid w:val="006D035C"/>
    <w:rsid w:val="006F67D6"/>
    <w:rsid w:val="007004A8"/>
    <w:rsid w:val="007112FC"/>
    <w:rsid w:val="007278EF"/>
    <w:rsid w:val="00744693"/>
    <w:rsid w:val="00747462"/>
    <w:rsid w:val="00771E57"/>
    <w:rsid w:val="00787C18"/>
    <w:rsid w:val="007A2EA9"/>
    <w:rsid w:val="007B7BB2"/>
    <w:rsid w:val="007D1052"/>
    <w:rsid w:val="007D71C3"/>
    <w:rsid w:val="008030F7"/>
    <w:rsid w:val="008175C3"/>
    <w:rsid w:val="00820094"/>
    <w:rsid w:val="00823C79"/>
    <w:rsid w:val="0083514E"/>
    <w:rsid w:val="00835511"/>
    <w:rsid w:val="00841F2E"/>
    <w:rsid w:val="0084247B"/>
    <w:rsid w:val="00850602"/>
    <w:rsid w:val="00850C8D"/>
    <w:rsid w:val="008625F9"/>
    <w:rsid w:val="00896F3C"/>
    <w:rsid w:val="008A23D1"/>
    <w:rsid w:val="008C556C"/>
    <w:rsid w:val="008E5111"/>
    <w:rsid w:val="008E5C9F"/>
    <w:rsid w:val="008F12EE"/>
    <w:rsid w:val="008F3F50"/>
    <w:rsid w:val="008F64BE"/>
    <w:rsid w:val="00901B73"/>
    <w:rsid w:val="00903AE4"/>
    <w:rsid w:val="009257EC"/>
    <w:rsid w:val="0093291B"/>
    <w:rsid w:val="00932AE5"/>
    <w:rsid w:val="009449B7"/>
    <w:rsid w:val="00957BE0"/>
    <w:rsid w:val="0096544E"/>
    <w:rsid w:val="00966996"/>
    <w:rsid w:val="009671CD"/>
    <w:rsid w:val="0098050D"/>
    <w:rsid w:val="009A661B"/>
    <w:rsid w:val="009C4922"/>
    <w:rsid w:val="009E4507"/>
    <w:rsid w:val="009E4BA1"/>
    <w:rsid w:val="009F4229"/>
    <w:rsid w:val="009F64B2"/>
    <w:rsid w:val="00A21822"/>
    <w:rsid w:val="00A376CB"/>
    <w:rsid w:val="00A60A11"/>
    <w:rsid w:val="00A768F3"/>
    <w:rsid w:val="00A855A6"/>
    <w:rsid w:val="00A93BDC"/>
    <w:rsid w:val="00AA71B9"/>
    <w:rsid w:val="00AB2F53"/>
    <w:rsid w:val="00AC5C51"/>
    <w:rsid w:val="00AE6FD0"/>
    <w:rsid w:val="00B1454A"/>
    <w:rsid w:val="00B2646A"/>
    <w:rsid w:val="00B361A4"/>
    <w:rsid w:val="00B4207E"/>
    <w:rsid w:val="00B5186C"/>
    <w:rsid w:val="00B534D5"/>
    <w:rsid w:val="00B61355"/>
    <w:rsid w:val="00BB34DE"/>
    <w:rsid w:val="00BD00A2"/>
    <w:rsid w:val="00BF7EA8"/>
    <w:rsid w:val="00C03777"/>
    <w:rsid w:val="00C03A42"/>
    <w:rsid w:val="00C2048F"/>
    <w:rsid w:val="00C24663"/>
    <w:rsid w:val="00C3208E"/>
    <w:rsid w:val="00C37582"/>
    <w:rsid w:val="00C43E1E"/>
    <w:rsid w:val="00CB503B"/>
    <w:rsid w:val="00CB515A"/>
    <w:rsid w:val="00CD4AE7"/>
    <w:rsid w:val="00D03906"/>
    <w:rsid w:val="00D212BF"/>
    <w:rsid w:val="00D23CA1"/>
    <w:rsid w:val="00D44A0C"/>
    <w:rsid w:val="00D65818"/>
    <w:rsid w:val="00D66ABB"/>
    <w:rsid w:val="00D710A0"/>
    <w:rsid w:val="00D727CC"/>
    <w:rsid w:val="00DA7354"/>
    <w:rsid w:val="00DA755C"/>
    <w:rsid w:val="00DC3D52"/>
    <w:rsid w:val="00DC5951"/>
    <w:rsid w:val="00DD5A05"/>
    <w:rsid w:val="00DE47AD"/>
    <w:rsid w:val="00DF50A1"/>
    <w:rsid w:val="00E01EE7"/>
    <w:rsid w:val="00E07BF9"/>
    <w:rsid w:val="00E120F8"/>
    <w:rsid w:val="00E85C4B"/>
    <w:rsid w:val="00E9071E"/>
    <w:rsid w:val="00E93830"/>
    <w:rsid w:val="00EB6EE5"/>
    <w:rsid w:val="00EC0EBC"/>
    <w:rsid w:val="00EC1EF2"/>
    <w:rsid w:val="00EE2534"/>
    <w:rsid w:val="00EE58AF"/>
    <w:rsid w:val="00EF7EE0"/>
    <w:rsid w:val="00EF7FAD"/>
    <w:rsid w:val="00F14D3A"/>
    <w:rsid w:val="00F33BEF"/>
    <w:rsid w:val="00F5619E"/>
    <w:rsid w:val="00F75421"/>
    <w:rsid w:val="00FD3E11"/>
    <w:rsid w:val="00FE29C1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90EB5512-CC1B-4775-83F9-6C7288A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20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48F"/>
    <w:rPr>
      <w:sz w:val="20"/>
    </w:rPr>
  </w:style>
  <w:style w:type="character" w:customStyle="1" w:styleId="CommentTextChar">
    <w:name w:val="Comment Text Char"/>
    <w:link w:val="CommentText"/>
    <w:rsid w:val="00C20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048F"/>
    <w:rPr>
      <w:b/>
      <w:bCs/>
    </w:rPr>
  </w:style>
  <w:style w:type="character" w:customStyle="1" w:styleId="CommentSubjectChar">
    <w:name w:val="Comment Subject Char"/>
    <w:link w:val="CommentSubject"/>
    <w:rsid w:val="00C2048F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AB2F53"/>
    <w:rPr>
      <w:sz w:val="24"/>
      <w:lang w:eastAsia="en-US"/>
    </w:rPr>
  </w:style>
  <w:style w:type="character" w:customStyle="1" w:styleId="apple-converted-space">
    <w:name w:val="apple-converted-space"/>
    <w:rsid w:val="00D6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98.pielikums</vt:lpstr>
    </vt:vector>
  </TitlesOfParts>
  <Manager>EM</Manager>
  <Company>Centrālā statistikas pārvalde</Company>
  <LinksUpToDate>false</LinksUpToDate>
  <CharactersWithSpaces>4531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98.pielikums</dc:title>
  <dc:subject>Veidlapas Nr.2-apgrozījums "Pārskats par apgrozījumu" paraugs</dc:subject>
  <dc:creator>Ieva Začeste</dc:creator>
  <cp:keywords/>
  <dc:description>ieva.zaceste@csb.gov.lv_x000d_
67366897</dc:description>
  <cp:lastModifiedBy>sandra.zerande</cp:lastModifiedBy>
  <cp:revision>2</cp:revision>
  <cp:lastPrinted>2016-12-21T10:38:00Z</cp:lastPrinted>
  <dcterms:created xsi:type="dcterms:W3CDTF">2016-12-21T10:38:00Z</dcterms:created>
  <dcterms:modified xsi:type="dcterms:W3CDTF">2016-12-21T10:38:00Z</dcterms:modified>
</cp:coreProperties>
</file>