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0C" w:rsidRPr="00CC14A6" w:rsidRDefault="0013380C" w:rsidP="0013380C">
      <w:pPr>
        <w:pStyle w:val="Heading4"/>
        <w:spacing w:before="130" w:after="0" w:line="260" w:lineRule="exact"/>
        <w:jc w:val="right"/>
        <w:rPr>
          <w:rFonts w:ascii="Cambria" w:hAnsi="Cambria"/>
          <w:b w:val="0"/>
          <w:sz w:val="19"/>
          <w:lang w:val="lv-LV"/>
        </w:rPr>
      </w:pPr>
      <w:r w:rsidRPr="00F93B29">
        <w:rPr>
          <w:rFonts w:ascii="Cambria" w:hAnsi="Cambria"/>
          <w:b w:val="0"/>
          <w:sz w:val="19"/>
          <w:lang w:val="lv-LV"/>
        </w:rPr>
        <w:t>4. pielikums</w:t>
      </w:r>
      <w:r>
        <w:rPr>
          <w:rFonts w:ascii="Cambria" w:hAnsi="Cambria"/>
          <w:b w:val="0"/>
          <w:sz w:val="19"/>
          <w:lang w:val="lv-LV"/>
        </w:rPr>
        <w:br/>
      </w:r>
      <w:r w:rsidRPr="00F93B29">
        <w:rPr>
          <w:rFonts w:ascii="Cambria" w:hAnsi="Cambria"/>
          <w:b w:val="0"/>
          <w:sz w:val="19"/>
          <w:lang w:val="lv-LV"/>
        </w:rPr>
        <w:t>Finan</w:t>
      </w:r>
      <w:r>
        <w:rPr>
          <w:rFonts w:ascii="Cambria" w:hAnsi="Cambria"/>
          <w:b w:val="0"/>
          <w:sz w:val="19"/>
          <w:lang w:val="lv-LV"/>
        </w:rPr>
        <w:t>šu un kapitāla tirgus komisijas</w:t>
      </w:r>
      <w:r>
        <w:rPr>
          <w:rFonts w:ascii="Cambria" w:hAnsi="Cambria"/>
          <w:b w:val="0"/>
          <w:sz w:val="19"/>
          <w:lang w:val="lv-LV"/>
        </w:rPr>
        <w:br/>
      </w:r>
      <w:r w:rsidRPr="00CC14A6">
        <w:rPr>
          <w:rFonts w:ascii="Cambria" w:hAnsi="Cambria"/>
          <w:b w:val="0"/>
          <w:sz w:val="19"/>
          <w:lang w:val="lv-LV"/>
        </w:rPr>
        <w:t xml:space="preserve"> 29.11.2016. normatīvajiem noteikumiem Nr. 198</w:t>
      </w:r>
    </w:p>
    <w:p w:rsidR="0013380C" w:rsidRPr="00F93B29" w:rsidRDefault="0013380C" w:rsidP="0013380C">
      <w:pPr>
        <w:spacing w:line="260" w:lineRule="exact"/>
        <w:ind w:firstLine="720"/>
        <w:jc w:val="righ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3483"/>
        <w:gridCol w:w="5213"/>
      </w:tblGrid>
      <w:tr w:rsidR="0013380C" w:rsidRPr="00CA6238" w:rsidTr="006F63CE">
        <w:trPr>
          <w:trHeight w:val="227"/>
        </w:trPr>
        <w:tc>
          <w:tcPr>
            <w:tcW w:w="5131" w:type="dxa"/>
            <w:tcBorders>
              <w:bottom w:val="single" w:sz="4" w:space="0" w:color="auto"/>
            </w:tcBorders>
            <w:shd w:val="clear" w:color="auto" w:fill="auto"/>
          </w:tcPr>
          <w:p w:rsidR="0013380C" w:rsidRPr="00CA6238" w:rsidRDefault="0013380C" w:rsidP="006F63CE">
            <w:pPr>
              <w:jc w:val="center"/>
              <w:rPr>
                <w:rFonts w:ascii="Cambria" w:hAnsi="Cambria"/>
                <w:sz w:val="19"/>
                <w:lang w:val="lv-LV"/>
              </w:rPr>
            </w:pPr>
          </w:p>
        </w:tc>
        <w:tc>
          <w:tcPr>
            <w:tcW w:w="9382" w:type="dxa"/>
            <w:shd w:val="clear" w:color="auto" w:fill="auto"/>
          </w:tcPr>
          <w:p w:rsidR="0013380C" w:rsidRPr="00CA6238" w:rsidRDefault="0013380C" w:rsidP="006F63CE">
            <w:pPr>
              <w:rPr>
                <w:rFonts w:ascii="Cambria" w:hAnsi="Cambria"/>
                <w:sz w:val="19"/>
                <w:lang w:val="lv-LV"/>
              </w:rPr>
            </w:pPr>
          </w:p>
        </w:tc>
      </w:tr>
      <w:tr w:rsidR="0013380C" w:rsidRPr="00CA6238" w:rsidTr="006F63CE">
        <w:trPr>
          <w:trHeight w:val="227"/>
        </w:trPr>
        <w:tc>
          <w:tcPr>
            <w:tcW w:w="5131" w:type="dxa"/>
            <w:tcBorders>
              <w:top w:val="single" w:sz="4" w:space="0" w:color="auto"/>
            </w:tcBorders>
            <w:shd w:val="clear" w:color="auto" w:fill="auto"/>
          </w:tcPr>
          <w:p w:rsidR="0013380C" w:rsidRPr="00CA6238" w:rsidRDefault="0013380C" w:rsidP="006F63CE">
            <w:pPr>
              <w:jc w:val="center"/>
              <w:rPr>
                <w:rFonts w:ascii="Cambria" w:hAnsi="Cambria"/>
                <w:sz w:val="19"/>
                <w:lang w:val="lv-LV"/>
              </w:rPr>
            </w:pPr>
            <w:r w:rsidRPr="00CA6238">
              <w:rPr>
                <w:rFonts w:ascii="Cambria" w:hAnsi="Cambria"/>
                <w:sz w:val="19"/>
                <w:lang w:val="lv-LV"/>
              </w:rPr>
              <w:t>(iestādes nosaukums)</w:t>
            </w:r>
          </w:p>
        </w:tc>
        <w:tc>
          <w:tcPr>
            <w:tcW w:w="9382" w:type="dxa"/>
            <w:shd w:val="clear" w:color="auto" w:fill="auto"/>
          </w:tcPr>
          <w:p w:rsidR="0013380C" w:rsidRPr="00CA6238" w:rsidRDefault="0013380C" w:rsidP="006F63CE">
            <w:pPr>
              <w:rPr>
                <w:rFonts w:ascii="Cambria" w:hAnsi="Cambria"/>
                <w:sz w:val="19"/>
                <w:lang w:val="lv-LV"/>
              </w:rPr>
            </w:pPr>
          </w:p>
        </w:tc>
      </w:tr>
      <w:tr w:rsidR="0013380C" w:rsidRPr="00CA6238" w:rsidTr="006F63CE">
        <w:trPr>
          <w:trHeight w:val="227"/>
        </w:trPr>
        <w:tc>
          <w:tcPr>
            <w:tcW w:w="5131" w:type="dxa"/>
            <w:tcBorders>
              <w:bottom w:val="single" w:sz="4" w:space="0" w:color="auto"/>
            </w:tcBorders>
            <w:shd w:val="clear" w:color="auto" w:fill="auto"/>
          </w:tcPr>
          <w:p w:rsidR="0013380C" w:rsidRPr="00CA6238" w:rsidRDefault="0013380C" w:rsidP="006F63CE">
            <w:pPr>
              <w:jc w:val="center"/>
              <w:rPr>
                <w:rFonts w:ascii="Cambria" w:hAnsi="Cambria"/>
                <w:sz w:val="19"/>
                <w:lang w:val="lv-LV"/>
              </w:rPr>
            </w:pPr>
          </w:p>
        </w:tc>
        <w:tc>
          <w:tcPr>
            <w:tcW w:w="9382" w:type="dxa"/>
            <w:shd w:val="clear" w:color="auto" w:fill="auto"/>
          </w:tcPr>
          <w:p w:rsidR="0013380C" w:rsidRPr="00CA6238" w:rsidRDefault="0013380C" w:rsidP="006F63CE">
            <w:pPr>
              <w:rPr>
                <w:rFonts w:ascii="Cambria" w:hAnsi="Cambria"/>
                <w:sz w:val="19"/>
                <w:lang w:val="lv-LV"/>
              </w:rPr>
            </w:pPr>
          </w:p>
        </w:tc>
      </w:tr>
      <w:tr w:rsidR="0013380C" w:rsidRPr="00CA6238" w:rsidTr="006F63CE">
        <w:trPr>
          <w:trHeight w:val="227"/>
        </w:trPr>
        <w:tc>
          <w:tcPr>
            <w:tcW w:w="5131" w:type="dxa"/>
            <w:tcBorders>
              <w:top w:val="single" w:sz="4" w:space="0" w:color="auto"/>
            </w:tcBorders>
            <w:shd w:val="clear" w:color="auto" w:fill="auto"/>
          </w:tcPr>
          <w:p w:rsidR="0013380C" w:rsidRPr="00CA6238" w:rsidRDefault="0013380C" w:rsidP="006F63CE">
            <w:pPr>
              <w:jc w:val="center"/>
              <w:rPr>
                <w:rFonts w:ascii="Cambria" w:hAnsi="Cambria"/>
                <w:sz w:val="19"/>
                <w:lang w:val="lv-LV"/>
              </w:rPr>
            </w:pPr>
            <w:r w:rsidRPr="00CA6238">
              <w:rPr>
                <w:rFonts w:ascii="Cambria" w:hAnsi="Cambria"/>
                <w:sz w:val="19"/>
                <w:lang w:val="lv-LV"/>
              </w:rPr>
              <w:t>(pašnovērtējuma veikšanas datums)</w:t>
            </w:r>
          </w:p>
        </w:tc>
        <w:tc>
          <w:tcPr>
            <w:tcW w:w="9382" w:type="dxa"/>
            <w:shd w:val="clear" w:color="auto" w:fill="auto"/>
          </w:tcPr>
          <w:p w:rsidR="0013380C" w:rsidRPr="00CA6238" w:rsidRDefault="0013380C" w:rsidP="006F63CE">
            <w:pPr>
              <w:rPr>
                <w:rFonts w:ascii="Cambria" w:hAnsi="Cambria"/>
                <w:sz w:val="19"/>
                <w:lang w:val="lv-LV"/>
              </w:rPr>
            </w:pPr>
          </w:p>
        </w:tc>
      </w:tr>
    </w:tbl>
    <w:p w:rsidR="0013380C" w:rsidRPr="00CC14A6" w:rsidRDefault="0013380C" w:rsidP="0013380C">
      <w:pPr>
        <w:pStyle w:val="BodyText2"/>
        <w:spacing w:before="360"/>
        <w:ind w:left="567" w:right="567"/>
        <w:jc w:val="center"/>
        <w:rPr>
          <w:rFonts w:ascii="Cambria" w:hAnsi="Cambria"/>
          <w:b/>
          <w:bCs/>
          <w:sz w:val="22"/>
        </w:rPr>
      </w:pPr>
      <w:r w:rsidRPr="00CC14A6">
        <w:rPr>
          <w:rFonts w:ascii="Cambria" w:hAnsi="Cambria"/>
          <w:b/>
          <w:sz w:val="22"/>
        </w:rPr>
        <w:t>AMP izmantošanai operacionālā riska kapitāla prasības noteikšanā izvirzīto prasību atbilstības pašnovērtējums</w:t>
      </w:r>
    </w:p>
    <w:p w:rsidR="0013380C" w:rsidRPr="00F93B29" w:rsidRDefault="0013380C" w:rsidP="0013380C">
      <w:pPr>
        <w:spacing w:line="260" w:lineRule="exact"/>
        <w:rPr>
          <w:rFonts w:ascii="Cambria" w:hAnsi="Cambria"/>
          <w:b/>
          <w:bCs/>
          <w:sz w:val="19"/>
          <w:lang w:val="lv-LV"/>
        </w:rPr>
      </w:pPr>
    </w:p>
    <w:p w:rsidR="0013380C" w:rsidRPr="00F93B29" w:rsidRDefault="0013380C" w:rsidP="0013380C">
      <w:pPr>
        <w:pStyle w:val="Teksts2"/>
        <w:spacing w:line="260" w:lineRule="exact"/>
        <w:rPr>
          <w:rFonts w:ascii="Cambria" w:hAnsi="Cambria"/>
          <w:b/>
          <w:bCs/>
          <w:i/>
          <w:iCs/>
          <w:sz w:val="19"/>
          <w:szCs w:val="24"/>
        </w:rPr>
      </w:pPr>
      <w:r w:rsidRPr="00F93B29">
        <w:rPr>
          <w:rFonts w:ascii="Cambria" w:hAnsi="Cambria"/>
          <w:b/>
          <w:bCs/>
          <w:sz w:val="19"/>
          <w:szCs w:val="24"/>
        </w:rPr>
        <w:t>1. Kvalitatīvie standarti</w:t>
      </w:r>
    </w:p>
    <w:p w:rsidR="0013380C" w:rsidRPr="00A44CE1" w:rsidRDefault="0013380C" w:rsidP="0013380C">
      <w:pPr>
        <w:spacing w:before="120" w:line="260" w:lineRule="exact"/>
        <w:rPr>
          <w:rFonts w:ascii="Cambria" w:hAnsi="Cambria"/>
          <w:sz w:val="19"/>
          <w:lang w:val="lv-LV"/>
        </w:rPr>
      </w:pPr>
      <w:r w:rsidRPr="00A44CE1">
        <w:rPr>
          <w:rFonts w:ascii="Cambria" w:hAnsi="Cambria"/>
          <w:sz w:val="19"/>
          <w:lang w:val="lv-LV"/>
        </w:rPr>
        <w:t xml:space="preserve">1. </w:t>
      </w:r>
      <w:r w:rsidRPr="00F93B29">
        <w:rPr>
          <w:rFonts w:ascii="Cambria" w:hAnsi="Cambria"/>
          <w:sz w:val="19"/>
          <w:lang w:val="lv-LV"/>
        </w:rPr>
        <w:t>Iestādes iekšējā operacionālā riska mērīšanas sistēma ir cieši integrēta iestādes ikdienas operacionālā riska pārvaldības procesos.</w:t>
      </w:r>
      <w:r w:rsidRPr="00A44CE1">
        <w:rPr>
          <w:rFonts w:ascii="Cambria" w:hAnsi="Cambria"/>
          <w:sz w:val="19"/>
          <w:lang w:val="lv-LV"/>
        </w:rPr>
        <w:t xml:space="preserve"> </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b/>
          <w:bCs/>
          <w:sz w:val="19"/>
        </w:rPr>
      </w:pPr>
      <w:r w:rsidRPr="00F93B29">
        <w:rPr>
          <w:rFonts w:ascii="Cambria" w:hAnsi="Cambria"/>
          <w:sz w:val="19"/>
        </w:rPr>
        <w:t xml:space="preserve">2. </w:t>
      </w:r>
      <w:r w:rsidRPr="00F93B29">
        <w:rPr>
          <w:rFonts w:ascii="Cambria" w:hAnsi="Cambria"/>
          <w:sz w:val="19"/>
          <w:szCs w:val="24"/>
        </w:rPr>
        <w:t xml:space="preserve">Iestādē ir izveidota neatkarīga riska pārvaldības struktūra operacionālajam riskam. </w:t>
      </w:r>
    </w:p>
    <w:p w:rsidR="0013380C" w:rsidRPr="00F93B29" w:rsidRDefault="0013380C" w:rsidP="0013380C">
      <w:pPr>
        <w:pStyle w:val="Teksts2"/>
        <w:spacing w:line="260" w:lineRule="exact"/>
        <w:rPr>
          <w:rFonts w:ascii="Cambria" w:hAnsi="Cambria"/>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Pr>
          <w:rFonts w:ascii="Cambria" w:hAnsi="Cambria"/>
          <w:sz w:val="19"/>
          <w:szCs w:val="24"/>
        </w:rPr>
        <w:br w:type="page"/>
      </w:r>
      <w:r w:rsidRPr="00F93B29">
        <w:rPr>
          <w:rFonts w:ascii="Cambria" w:hAnsi="Cambria"/>
          <w:sz w:val="19"/>
          <w:szCs w:val="24"/>
        </w:rPr>
        <w:lastRenderedPageBreak/>
        <w:t xml:space="preserve">3. Iestāde </w:t>
      </w:r>
      <w:r w:rsidRPr="00F93B29">
        <w:rPr>
          <w:rFonts w:ascii="Cambria" w:hAnsi="Cambria"/>
          <w:sz w:val="19"/>
          <w:szCs w:val="24"/>
          <w:shd w:val="clear" w:color="auto" w:fill="FFFFFF"/>
        </w:rPr>
        <w:t>sagatavo regulārus pārskatus par operacionālā riska darījumiem un zaudējumu pieredzi, kā arī ir izveidotas procedūras, lai īstenotu atbilstīgas korektīvās darbības.</w:t>
      </w:r>
    </w:p>
    <w:p w:rsidR="0013380C" w:rsidRPr="00F93B29" w:rsidRDefault="0013380C" w:rsidP="0013380C">
      <w:pPr>
        <w:pStyle w:val="Teksts2"/>
        <w:spacing w:line="260" w:lineRule="exact"/>
        <w:rPr>
          <w:rFonts w:ascii="Cambria" w:hAnsi="Cambria"/>
          <w:b/>
          <w:bCs/>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 xml:space="preserve">4. </w:t>
      </w:r>
      <w:r w:rsidRPr="00F93B29">
        <w:rPr>
          <w:rFonts w:ascii="Cambria" w:hAnsi="Cambria"/>
          <w:sz w:val="19"/>
          <w:szCs w:val="24"/>
          <w:shd w:val="clear" w:color="auto" w:fill="FFFFFF"/>
        </w:rPr>
        <w:t>Iestādes riska pārvaldības sistēma ir labi dokumentēta. Iestādei ir ieviesta kārtība, lai nodrošinātu atbilstību un politikas virzienus attiecībā uz rīcību neatbilstības gadījumā</w:t>
      </w:r>
      <w:r w:rsidRPr="00F93B29">
        <w:rPr>
          <w:rFonts w:ascii="Cambria" w:hAnsi="Cambria"/>
          <w:sz w:val="19"/>
          <w:szCs w:val="24"/>
        </w:rPr>
        <w:t xml:space="preserve">. </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 xml:space="preserve">5. </w:t>
      </w:r>
      <w:r w:rsidRPr="00F93B29">
        <w:rPr>
          <w:rFonts w:ascii="Cambria" w:hAnsi="Cambria"/>
          <w:sz w:val="19"/>
          <w:szCs w:val="24"/>
          <w:shd w:val="clear" w:color="auto" w:fill="FFFFFF"/>
        </w:rPr>
        <w:t>Iestādei ir ieviesta kārtība, lai nodrošinātu atbilstību un politikas virzienus attiecībā uz rīcību neatbilstības gadījumā</w:t>
      </w:r>
      <w:r w:rsidRPr="00F93B29">
        <w:rPr>
          <w:rFonts w:ascii="Cambria" w:hAnsi="Cambria"/>
          <w:sz w:val="19"/>
          <w:szCs w:val="24"/>
        </w:rPr>
        <w:t>.</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 xml:space="preserve">6. </w:t>
      </w:r>
      <w:r w:rsidRPr="00F93B29">
        <w:rPr>
          <w:rFonts w:ascii="Cambria" w:hAnsi="Cambria"/>
          <w:sz w:val="19"/>
          <w:szCs w:val="24"/>
          <w:shd w:val="clear" w:color="auto" w:fill="FFFFFF"/>
        </w:rPr>
        <w:t>Iestāde saviem operacionālā riska pārvaldības procesiem un mērīšanas sistēmām veic regulāras pārbaudes, ko īsteno iekšējie vai ārējie revidenti</w:t>
      </w:r>
      <w:r w:rsidRPr="00F93B29">
        <w:rPr>
          <w:rFonts w:ascii="Cambria" w:hAnsi="Cambria"/>
          <w:sz w:val="19"/>
          <w:szCs w:val="24"/>
        </w:rPr>
        <w:t>.</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Pr>
          <w:rFonts w:ascii="Cambria" w:hAnsi="Cambria"/>
          <w:sz w:val="19"/>
          <w:szCs w:val="24"/>
        </w:rPr>
        <w:br w:type="page"/>
      </w:r>
      <w:r w:rsidRPr="00F93B29">
        <w:rPr>
          <w:rFonts w:ascii="Cambria" w:hAnsi="Cambria"/>
          <w:sz w:val="19"/>
          <w:szCs w:val="24"/>
        </w:rPr>
        <w:lastRenderedPageBreak/>
        <w:t>7. Iestādes iekšējo validācijas procesu darbība ir pilnvērtīga un efektīva.</w:t>
      </w:r>
    </w:p>
    <w:p w:rsidR="0013380C" w:rsidRPr="00F93B29" w:rsidRDefault="0013380C" w:rsidP="0013380C">
      <w:pPr>
        <w:pStyle w:val="Teksts2"/>
        <w:spacing w:line="260" w:lineRule="exact"/>
        <w:rPr>
          <w:rFonts w:ascii="Cambria" w:hAnsi="Cambria"/>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 xml:space="preserve">8. Iestādes </w:t>
      </w:r>
      <w:r w:rsidRPr="00F93B29">
        <w:rPr>
          <w:rFonts w:ascii="Cambria" w:hAnsi="Cambria"/>
          <w:sz w:val="19"/>
          <w:szCs w:val="24"/>
          <w:shd w:val="clear" w:color="auto" w:fill="FFFFFF"/>
        </w:rPr>
        <w:t>datu plūsmas un procesi, kas saistīti ar iestādes riska mērīšanas sistēmu, ir pārredzami un pieejami</w:t>
      </w:r>
      <w:r w:rsidRPr="00F93B29">
        <w:rPr>
          <w:rFonts w:ascii="Cambria" w:hAnsi="Cambria"/>
          <w:sz w:val="19"/>
          <w:szCs w:val="24"/>
        </w:rPr>
        <w:t xml:space="preserve">. </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b/>
          <w:bCs/>
          <w:sz w:val="19"/>
          <w:szCs w:val="24"/>
        </w:rPr>
      </w:pPr>
    </w:p>
    <w:p w:rsidR="0013380C" w:rsidRPr="00F93B29" w:rsidRDefault="0013380C" w:rsidP="0013380C">
      <w:pPr>
        <w:pStyle w:val="Teksts2"/>
        <w:spacing w:line="260" w:lineRule="exact"/>
        <w:rPr>
          <w:rFonts w:ascii="Cambria" w:hAnsi="Cambria"/>
          <w:b/>
          <w:bCs/>
          <w:sz w:val="19"/>
          <w:szCs w:val="24"/>
        </w:rPr>
      </w:pPr>
      <w:r w:rsidRPr="00F93B29">
        <w:rPr>
          <w:rFonts w:ascii="Cambria" w:hAnsi="Cambria"/>
          <w:b/>
          <w:bCs/>
          <w:sz w:val="19"/>
          <w:szCs w:val="24"/>
        </w:rPr>
        <w:t>2. Kvantitatīvie kritēriji</w:t>
      </w:r>
    </w:p>
    <w:p w:rsidR="0013380C" w:rsidRPr="00F93B29" w:rsidRDefault="0013380C" w:rsidP="0013380C">
      <w:pPr>
        <w:pStyle w:val="Teksts2"/>
        <w:spacing w:line="260" w:lineRule="exact"/>
        <w:rPr>
          <w:rFonts w:ascii="Cambria" w:hAnsi="Cambria"/>
          <w:b/>
          <w:bCs/>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 xml:space="preserve">9. Iestādes izstrādātā AMP atbilst ES Regulas Nr. 575/2013 </w:t>
      </w:r>
      <w:r w:rsidRPr="00F93B29">
        <w:rPr>
          <w:rFonts w:ascii="Cambria" w:hAnsi="Cambria"/>
          <w:sz w:val="19"/>
          <w:szCs w:val="24"/>
          <w:shd w:val="clear" w:color="auto" w:fill="FFFFFF"/>
        </w:rPr>
        <w:t>312. panta 2. punktā minētajiem kvantitatīvajiem standartiem, kas ietver standartus, kuri saistīti ar procesu, iekšējiem datiem, ārējiem datiem, scenāriju analīzi, uzņēmējdarbības vidi un iekšējās kontroles faktoriem, kuri attiecīgi noteikti ES Regulas Nr. 575/2013 322. panta 2.–6. punktā.</w:t>
      </w:r>
      <w:r w:rsidRPr="00F93B29">
        <w:rPr>
          <w:rFonts w:ascii="Cambria" w:hAnsi="Cambria"/>
          <w:sz w:val="19"/>
          <w:szCs w:val="24"/>
        </w:rPr>
        <w:t xml:space="preserve"> </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b/>
          <w:bCs/>
          <w:sz w:val="19"/>
          <w:szCs w:val="24"/>
        </w:rPr>
      </w:pPr>
    </w:p>
    <w:p w:rsidR="0013380C" w:rsidRPr="00F93B29" w:rsidRDefault="0013380C" w:rsidP="0013380C">
      <w:pPr>
        <w:pStyle w:val="Teksts2"/>
        <w:spacing w:line="260" w:lineRule="exact"/>
        <w:rPr>
          <w:rFonts w:ascii="Cambria" w:hAnsi="Cambria"/>
          <w:b/>
          <w:bCs/>
          <w:sz w:val="19"/>
          <w:szCs w:val="24"/>
        </w:rPr>
      </w:pPr>
      <w:r w:rsidRPr="00F93B29">
        <w:rPr>
          <w:rFonts w:ascii="Cambria" w:hAnsi="Cambria"/>
          <w:b/>
          <w:bCs/>
          <w:sz w:val="19"/>
          <w:szCs w:val="24"/>
        </w:rPr>
        <w:t>2.1. Ar procesu saistītie standarti</w:t>
      </w:r>
    </w:p>
    <w:p w:rsidR="0013380C" w:rsidRPr="00F93B29" w:rsidRDefault="0013380C" w:rsidP="0013380C">
      <w:pPr>
        <w:pStyle w:val="Teksts2"/>
        <w:spacing w:line="260" w:lineRule="exact"/>
        <w:rPr>
          <w:rFonts w:ascii="Cambria" w:hAnsi="Cambria"/>
          <w:b/>
          <w:bCs/>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 xml:space="preserve">10. </w:t>
      </w:r>
      <w:r w:rsidRPr="00F93B29">
        <w:rPr>
          <w:rFonts w:ascii="Cambria" w:eastAsia="Arial Unicode MS" w:hAnsi="Cambria"/>
          <w:sz w:val="19"/>
          <w:szCs w:val="24"/>
          <w:shd w:val="clear" w:color="auto" w:fill="FFFFFF"/>
        </w:rPr>
        <w:t>Iestāde aprēķina savu pašu kapitāla prasību, ietverot paredzamos un neparedzamos zaudējumus, ja vien paredzamie zaudējumi nav attiecīgi nodrošināti ar tās iekšējām darbības praksēm. Operacionālā riska mērs aptver notikumus ar mazu varbūtību, kuriem potenciāli var būt būtiska ietekme,</w:t>
      </w:r>
      <w:r w:rsidRPr="00F93B29">
        <w:rPr>
          <w:rFonts w:ascii="Cambria" w:hAnsi="Cambria"/>
          <w:sz w:val="19"/>
          <w:szCs w:val="24"/>
        </w:rPr>
        <w:t xml:space="preserve"> sasniedzot piesardzības standartu, kas ir pielīdzināms 99.9% ticamības intervālam viena gada periodā.</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r>
        <w:rPr>
          <w:rFonts w:ascii="Cambria" w:hAnsi="Cambria"/>
          <w:sz w:val="19"/>
          <w:szCs w:val="24"/>
        </w:rPr>
        <w:br w:type="page"/>
      </w:r>
      <w:r w:rsidRPr="00F93B29">
        <w:rPr>
          <w:rFonts w:ascii="Cambria" w:hAnsi="Cambria"/>
          <w:sz w:val="19"/>
          <w:szCs w:val="24"/>
        </w:rPr>
        <w:lastRenderedPageBreak/>
        <w:t xml:space="preserve">11. Iestāde tās operacionālā riska mērīšanas iekšējā sistēmā </w:t>
      </w:r>
      <w:r w:rsidRPr="00F93B29">
        <w:rPr>
          <w:rFonts w:ascii="Cambria" w:eastAsia="Arial Unicode MS" w:hAnsi="Cambria"/>
          <w:sz w:val="19"/>
          <w:szCs w:val="24"/>
          <w:shd w:val="clear" w:color="auto" w:fill="FFFFFF"/>
        </w:rPr>
        <w:t>ietver iekšējo datu, ārējo datu, scenāriju analīzes, faktoru, kas atspoguļo uzņēmējdarbības vidi, un iekšējās kontroles sistēmu izmantošanu, kā izklāstīts ES Regulas Nr. 575/2013 322. panta 3.–6. punktā</w:t>
      </w:r>
      <w:r w:rsidRPr="00F93B29">
        <w:rPr>
          <w:rFonts w:ascii="Cambria" w:hAnsi="Cambria"/>
          <w:sz w:val="19"/>
          <w:szCs w:val="24"/>
        </w:rPr>
        <w:t>.</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highlight w:val="cyan"/>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12. I</w:t>
      </w:r>
      <w:r w:rsidRPr="00F93B29">
        <w:rPr>
          <w:rFonts w:ascii="Cambria" w:eastAsia="Arial Unicode MS" w:hAnsi="Cambria"/>
          <w:sz w:val="19"/>
          <w:szCs w:val="24"/>
          <w:shd w:val="clear" w:color="auto" w:fill="FFFFFF"/>
        </w:rPr>
        <w:t>estādei ir ieviesta labi dokumentēta pieeja šo četru elementu proporcionālam lietojumam tās vispārējā operacionālā riska aprēķina sistēmā.</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b/>
          <w:bCs/>
          <w:i/>
          <w:iCs/>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 xml:space="preserve">13. </w:t>
      </w:r>
      <w:r w:rsidRPr="00F93B29">
        <w:rPr>
          <w:rFonts w:ascii="Cambria" w:eastAsia="Arial Unicode MS" w:hAnsi="Cambria"/>
          <w:sz w:val="19"/>
          <w:szCs w:val="24"/>
          <w:shd w:val="clear" w:color="auto" w:fill="FFFFFF"/>
        </w:rPr>
        <w:t>Iestādes riska mērīšanas sistēmā ietver galvenos riska izraisītājus, kas ietekmē aplēsto zaudējumu sadalījuma līknes veidu</w:t>
      </w:r>
      <w:r w:rsidRPr="00F93B29">
        <w:rPr>
          <w:rFonts w:ascii="Cambria" w:hAnsi="Cambria"/>
          <w:sz w:val="19"/>
          <w:szCs w:val="24"/>
        </w:rPr>
        <w:t>.</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 xml:space="preserve">14. </w:t>
      </w:r>
      <w:r w:rsidRPr="00F93B29">
        <w:rPr>
          <w:rFonts w:ascii="Cambria" w:eastAsia="Arial Unicode MS" w:hAnsi="Cambria"/>
          <w:sz w:val="19"/>
          <w:szCs w:val="24"/>
          <w:shd w:val="clear" w:color="auto" w:fill="FFFFFF"/>
        </w:rPr>
        <w:t>Iestāde var atzīt operacionālā riska zaudējumu korelācijas attiecībā pret atsevišķām operacionālā riska aplēsēm vienīgi tad, ja tās sistēmas korelāciju mērīšanai ir pilnvērtīgas, tiek īstenotas konsekventi un tajās ir ņemta vērā nenoteiktība, kas raksturīga šādiem korelācijas aprēķiniem, jo īpaši spriedzes periodos</w:t>
      </w:r>
      <w:r w:rsidRPr="00F93B29">
        <w:rPr>
          <w:rFonts w:ascii="Cambria" w:hAnsi="Cambria"/>
          <w:sz w:val="19"/>
          <w:szCs w:val="24"/>
        </w:rPr>
        <w:t xml:space="preserve">. </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Pr>
          <w:rFonts w:ascii="Cambria" w:hAnsi="Cambria"/>
          <w:sz w:val="19"/>
          <w:szCs w:val="24"/>
        </w:rPr>
        <w:br w:type="page"/>
      </w:r>
      <w:r w:rsidRPr="00F93B29">
        <w:rPr>
          <w:rFonts w:ascii="Cambria" w:hAnsi="Cambria"/>
          <w:sz w:val="19"/>
          <w:szCs w:val="24"/>
        </w:rPr>
        <w:lastRenderedPageBreak/>
        <w:t>15. Iestāde validē tās korelācijas pieņēmumus, izmantojot attiecīgas kvantitatīvās un kvalitatīvās metodes.</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16. I</w:t>
      </w:r>
      <w:r w:rsidRPr="00F93B29">
        <w:rPr>
          <w:rFonts w:ascii="Cambria" w:eastAsia="Arial Unicode MS" w:hAnsi="Cambria"/>
          <w:sz w:val="19"/>
          <w:szCs w:val="24"/>
          <w:shd w:val="clear" w:color="auto" w:fill="FFFFFF"/>
        </w:rPr>
        <w:t>estādes riska mērīšanas sistēma ir iekšēji konsekventa, un tajā iestāde ir izvairījusies no vairākkārtējas tādu kvalitatīvo vērtējumu vai riska mazināšanas metožu atzīšanas, kas jau ir atzītas citās ES Regulas Nr. 575/2013 jomās</w:t>
      </w:r>
      <w:r w:rsidRPr="00F93B29">
        <w:rPr>
          <w:rFonts w:ascii="Cambria" w:hAnsi="Cambria"/>
          <w:sz w:val="19"/>
          <w:szCs w:val="24"/>
        </w:rPr>
        <w:t>.</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b/>
          <w:bCs/>
          <w:sz w:val="19"/>
          <w:szCs w:val="24"/>
        </w:rPr>
      </w:pPr>
      <w:r w:rsidRPr="00F93B29">
        <w:rPr>
          <w:rFonts w:ascii="Cambria" w:hAnsi="Cambria"/>
          <w:b/>
          <w:bCs/>
          <w:sz w:val="19"/>
          <w:szCs w:val="24"/>
        </w:rPr>
        <w:t>2.2. Ar iekšējiem datiem saistītie standarti</w:t>
      </w:r>
    </w:p>
    <w:p w:rsidR="0013380C" w:rsidRPr="00F93B29" w:rsidRDefault="0013380C" w:rsidP="0013380C">
      <w:pPr>
        <w:pStyle w:val="Teksts2"/>
        <w:spacing w:line="260" w:lineRule="exact"/>
        <w:rPr>
          <w:rFonts w:ascii="Cambria" w:hAnsi="Cambria"/>
          <w:b/>
          <w:bCs/>
          <w:i/>
          <w:iCs/>
          <w:sz w:val="19"/>
          <w:szCs w:val="24"/>
          <w:highlight w:val="lightGray"/>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 xml:space="preserve">17. </w:t>
      </w:r>
      <w:r w:rsidRPr="00F93B29">
        <w:rPr>
          <w:rFonts w:ascii="Cambria" w:eastAsia="Arial Unicode MS" w:hAnsi="Cambria"/>
          <w:sz w:val="19"/>
          <w:szCs w:val="24"/>
          <w:shd w:val="clear" w:color="auto" w:fill="FFFFFF"/>
        </w:rPr>
        <w:t>Iestāde savu iekšēji veikto operacionālā riska mērīšanu balsta uz minimālo vēsturiskās novērošanas periodu, kas ir pieci gadi</w:t>
      </w:r>
      <w:r w:rsidRPr="00F93B29">
        <w:rPr>
          <w:rFonts w:ascii="Cambria" w:hAnsi="Cambria"/>
          <w:sz w:val="19"/>
          <w:szCs w:val="24"/>
        </w:rPr>
        <w:t xml:space="preserve">. </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 xml:space="preserve">18. </w:t>
      </w:r>
      <w:r w:rsidRPr="00F93B29">
        <w:rPr>
          <w:rFonts w:ascii="Cambria" w:eastAsia="Arial Unicode MS" w:hAnsi="Cambria"/>
          <w:sz w:val="19"/>
          <w:szCs w:val="24"/>
          <w:shd w:val="clear" w:color="auto" w:fill="FFFFFF"/>
        </w:rPr>
        <w:t>Iestādei pirmo reizi sākot izmantot AMP, ir pieļaujams izmantot trīs gadu vēsturiskās novērošanas periodu.</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eastAsia="Arial Unicode MS" w:hAnsi="Cambria"/>
          <w:sz w:val="19"/>
          <w:szCs w:val="19"/>
          <w:shd w:val="clear" w:color="auto" w:fill="FFFFFF"/>
        </w:rPr>
      </w:pPr>
      <w:r>
        <w:rPr>
          <w:rFonts w:ascii="Cambria" w:hAnsi="Cambria"/>
          <w:sz w:val="19"/>
          <w:szCs w:val="24"/>
        </w:rPr>
        <w:br w:type="page"/>
      </w:r>
      <w:r w:rsidRPr="00F93B29">
        <w:rPr>
          <w:rFonts w:ascii="Cambria" w:hAnsi="Cambria"/>
          <w:sz w:val="19"/>
          <w:szCs w:val="24"/>
        </w:rPr>
        <w:lastRenderedPageBreak/>
        <w:t xml:space="preserve">19. </w:t>
      </w:r>
      <w:r w:rsidRPr="00F93B29">
        <w:rPr>
          <w:rFonts w:ascii="Cambria" w:eastAsia="Arial Unicode MS" w:hAnsi="Cambria"/>
          <w:sz w:val="19"/>
          <w:szCs w:val="24"/>
          <w:shd w:val="clear" w:color="auto" w:fill="FFFFFF"/>
        </w:rPr>
        <w:t>Iestāde spēj savus iekšējos vēsturiskos datus par zaudējumiem attiecināt uz darbības jomām, kas noteiktas ES Regulas Nr. 575/2013 317. pantā, un notikumu veidiem, kuri izklāstīti ES Regulas Nr. 575/2013 324. pantā, un pēc pieprasījuma iesniegt šos datus kompetentajām iestādēm. Ārkārtas apstākļos iestāde var attiecināt zaudējumu notikumus, kas skar visu iestādi, uz papildu darbības jomu "Korporatīvie posteņi"</w:t>
      </w:r>
      <w:r w:rsidRPr="00F93B29">
        <w:rPr>
          <w:rFonts w:ascii="Cambria" w:hAnsi="Cambria"/>
          <w:sz w:val="19"/>
          <w:szCs w:val="24"/>
        </w:rPr>
        <w:t>.</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 xml:space="preserve">20. </w:t>
      </w:r>
      <w:r w:rsidRPr="00F93B29">
        <w:rPr>
          <w:rFonts w:ascii="Cambria" w:eastAsia="Arial Unicode MS" w:hAnsi="Cambria"/>
          <w:sz w:val="19"/>
          <w:szCs w:val="24"/>
          <w:shd w:val="clear" w:color="auto" w:fill="FFFFFF"/>
        </w:rPr>
        <w:t xml:space="preserve">Iestādei ir dokumentēti objektīvie kritēriji zaudējumu attiecināšanai uz noteiktām darbības jomām un notikumu veidiem. Iestāde savus operacionālā riska zaudējumus, kas ir saistīti ar kredītrisku un ko iestāde vēsturiski ir iekļāvusi iekšējās kredītriska datu bāzēs, reģistrē operacionālā riska datu bāzēs un nosaka tos atsevišķi. Šādi zaudējumi nav iekļauti operacionālā riska kapitāla prasības aprēķinā ar noteikumu, </w:t>
      </w:r>
      <w:proofErr w:type="gramStart"/>
      <w:r w:rsidRPr="00F93B29">
        <w:rPr>
          <w:rFonts w:ascii="Cambria" w:eastAsia="Arial Unicode MS" w:hAnsi="Cambria"/>
          <w:sz w:val="19"/>
          <w:szCs w:val="24"/>
          <w:shd w:val="clear" w:color="auto" w:fill="FFFFFF"/>
        </w:rPr>
        <w:t>ka iestādei pašu kapitāla prasību aprēķināšanas vajadzībām ir</w:t>
      </w:r>
      <w:proofErr w:type="gramEnd"/>
      <w:r w:rsidRPr="00F93B29">
        <w:rPr>
          <w:rFonts w:ascii="Cambria" w:eastAsia="Arial Unicode MS" w:hAnsi="Cambria"/>
          <w:sz w:val="19"/>
          <w:szCs w:val="24"/>
          <w:shd w:val="clear" w:color="auto" w:fill="FFFFFF"/>
        </w:rPr>
        <w:t xml:space="preserve"> jāturpina tos uzskatīt par kredītrisku.</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eastAsia="Arial Unicode MS" w:hAnsi="Cambria"/>
          <w:sz w:val="19"/>
          <w:szCs w:val="19"/>
          <w:shd w:val="clear" w:color="auto" w:fill="FFFFFF"/>
        </w:rPr>
      </w:pPr>
      <w:r w:rsidRPr="00F93B29">
        <w:rPr>
          <w:rFonts w:ascii="Cambria" w:hAnsi="Cambria"/>
          <w:sz w:val="19"/>
          <w:szCs w:val="24"/>
        </w:rPr>
        <w:t xml:space="preserve">21. </w:t>
      </w:r>
      <w:r w:rsidRPr="00F93B29">
        <w:rPr>
          <w:rFonts w:ascii="Cambria" w:eastAsia="Arial Unicode MS" w:hAnsi="Cambria"/>
          <w:sz w:val="19"/>
          <w:szCs w:val="24"/>
          <w:shd w:val="clear" w:color="auto" w:fill="FFFFFF"/>
        </w:rPr>
        <w:t>Iestāde iekļauj savos iekšējos datos operacionālā riska zaudējumus, kas saistīti ar tirgus riskiem, operacionālā riska pašu kapitāla prasības jomā.</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22. Iestādes iekšējie zaudējumu dati ir vispusīgi,</w:t>
      </w:r>
      <w:r w:rsidRPr="00F93B29">
        <w:rPr>
          <w:rFonts w:ascii="Cambria" w:eastAsia="Arial Unicode MS" w:hAnsi="Cambria"/>
          <w:sz w:val="19"/>
          <w:szCs w:val="24"/>
          <w:shd w:val="clear" w:color="auto" w:fill="FFFFFF"/>
        </w:rPr>
        <w:t xml:space="preserve"> lai ietvertu visas būtiskās darbības un riska darījumus no visām attiecīgajām apakšsistēmām un ģeogrāfiskajām atrašanās vietām</w:t>
      </w:r>
      <w:r w:rsidRPr="00F93B29">
        <w:rPr>
          <w:rFonts w:ascii="Cambria" w:hAnsi="Cambria"/>
          <w:sz w:val="19"/>
          <w:szCs w:val="24"/>
        </w:rPr>
        <w:t xml:space="preserve">. </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97399B" w:rsidTr="006F63CE">
        <w:tc>
          <w:tcPr>
            <w:tcW w:w="697"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Atbilstības izvērtējums*</w:t>
            </w:r>
          </w:p>
        </w:tc>
        <w:tc>
          <w:tcPr>
            <w:tcW w:w="2604"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Vērtējuma pamatojums</w:t>
            </w:r>
          </w:p>
        </w:tc>
        <w:tc>
          <w:tcPr>
            <w:tcW w:w="1699" w:type="pct"/>
            <w:vAlign w:val="center"/>
          </w:tcPr>
          <w:p w:rsidR="0013380C" w:rsidRPr="0097399B" w:rsidRDefault="0013380C" w:rsidP="006F63CE">
            <w:pPr>
              <w:jc w:val="center"/>
              <w:rPr>
                <w:rFonts w:ascii="Cambria" w:hAnsi="Cambria"/>
                <w:sz w:val="19"/>
                <w:lang w:val="lv-LV"/>
              </w:rPr>
            </w:pPr>
            <w:r w:rsidRPr="0097399B">
              <w:rPr>
                <w:rFonts w:ascii="Cambria" w:hAnsi="Cambria"/>
                <w:sz w:val="19"/>
                <w:lang w:val="lv-LV"/>
              </w:rPr>
              <w:t>Atsauce uz iestādes iekšējiem dokumentiem, norādot atbilstošo punktu</w:t>
            </w:r>
          </w:p>
        </w:tc>
      </w:tr>
      <w:tr w:rsidR="0013380C" w:rsidRPr="0097399B" w:rsidTr="006F63CE">
        <w:tc>
          <w:tcPr>
            <w:tcW w:w="697" w:type="pct"/>
            <w:vAlign w:val="center"/>
          </w:tcPr>
          <w:p w:rsidR="0013380C" w:rsidRPr="0097399B" w:rsidRDefault="0013380C" w:rsidP="006F63CE">
            <w:pPr>
              <w:jc w:val="center"/>
              <w:rPr>
                <w:rFonts w:ascii="Cambria" w:hAnsi="Cambria"/>
                <w:sz w:val="19"/>
                <w:lang w:val="lv-LV"/>
              </w:rPr>
            </w:pPr>
          </w:p>
        </w:tc>
        <w:tc>
          <w:tcPr>
            <w:tcW w:w="2604" w:type="pct"/>
            <w:vAlign w:val="center"/>
          </w:tcPr>
          <w:p w:rsidR="0013380C" w:rsidRPr="0097399B" w:rsidRDefault="0013380C" w:rsidP="006F63CE">
            <w:pPr>
              <w:jc w:val="center"/>
              <w:rPr>
                <w:rFonts w:ascii="Cambria" w:hAnsi="Cambria"/>
                <w:sz w:val="19"/>
                <w:lang w:val="lv-LV"/>
              </w:rPr>
            </w:pPr>
          </w:p>
        </w:tc>
        <w:tc>
          <w:tcPr>
            <w:tcW w:w="1699" w:type="pct"/>
            <w:vAlign w:val="center"/>
          </w:tcPr>
          <w:p w:rsidR="0013380C" w:rsidRPr="0097399B"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Pr>
          <w:rFonts w:ascii="Cambria" w:hAnsi="Cambria"/>
          <w:sz w:val="19"/>
          <w:szCs w:val="24"/>
        </w:rPr>
        <w:br w:type="page"/>
      </w:r>
      <w:r w:rsidRPr="00F93B29">
        <w:rPr>
          <w:rFonts w:ascii="Cambria" w:hAnsi="Cambria"/>
          <w:sz w:val="19"/>
          <w:szCs w:val="24"/>
        </w:rPr>
        <w:lastRenderedPageBreak/>
        <w:t>23. I</w:t>
      </w:r>
      <w:r w:rsidRPr="00F93B29">
        <w:rPr>
          <w:rFonts w:ascii="Cambria" w:eastAsia="Arial Unicode MS" w:hAnsi="Cambria"/>
          <w:sz w:val="19"/>
          <w:szCs w:val="24"/>
          <w:shd w:val="clear" w:color="auto" w:fill="FFFFFF"/>
        </w:rPr>
        <w:t>estāde spēj pamatot, ka jebkuras neiekļautās</w:t>
      </w:r>
      <w:r w:rsidRPr="00F93B29">
        <w:rPr>
          <w:rStyle w:val="apple-converted-space"/>
          <w:rFonts w:ascii="Cambria" w:eastAsia="Arial Unicode MS" w:hAnsi="Cambria"/>
          <w:sz w:val="19"/>
          <w:szCs w:val="24"/>
          <w:shd w:val="clear" w:color="auto" w:fill="FFFFFF"/>
        </w:rPr>
        <w:t> </w:t>
      </w:r>
      <w:r w:rsidRPr="00F93B29">
        <w:rPr>
          <w:rFonts w:ascii="Cambria" w:hAnsi="Cambria"/>
          <w:sz w:val="19"/>
          <w:szCs w:val="24"/>
        </w:rPr>
        <w:t xml:space="preserve"> darbības vai riska darījumi – atsevišķi un kopā –, būtiski neietekmētu vispārējās operacionālā riska aplēses.</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D174C6" w:rsidTr="006F63CE">
        <w:tc>
          <w:tcPr>
            <w:tcW w:w="697" w:type="pct"/>
            <w:vAlign w:val="center"/>
          </w:tcPr>
          <w:p w:rsidR="0013380C" w:rsidRPr="00D174C6" w:rsidRDefault="0013380C" w:rsidP="006F63CE">
            <w:pPr>
              <w:jc w:val="center"/>
              <w:rPr>
                <w:rFonts w:ascii="Cambria" w:hAnsi="Cambria"/>
                <w:sz w:val="19"/>
                <w:lang w:val="lv-LV"/>
              </w:rPr>
            </w:pPr>
            <w:r w:rsidRPr="00D174C6">
              <w:rPr>
                <w:rFonts w:ascii="Cambria" w:hAnsi="Cambria"/>
                <w:sz w:val="19"/>
                <w:lang w:val="lv-LV"/>
              </w:rPr>
              <w:t>Atbilstības izvērtējums*</w:t>
            </w:r>
          </w:p>
        </w:tc>
        <w:tc>
          <w:tcPr>
            <w:tcW w:w="2604" w:type="pct"/>
            <w:vAlign w:val="center"/>
          </w:tcPr>
          <w:p w:rsidR="0013380C" w:rsidRPr="00D174C6" w:rsidRDefault="0013380C" w:rsidP="006F63CE">
            <w:pPr>
              <w:jc w:val="center"/>
              <w:rPr>
                <w:rFonts w:ascii="Cambria" w:hAnsi="Cambria"/>
                <w:sz w:val="19"/>
                <w:lang w:val="lv-LV"/>
              </w:rPr>
            </w:pPr>
            <w:r w:rsidRPr="00D174C6">
              <w:rPr>
                <w:rFonts w:ascii="Cambria" w:hAnsi="Cambria"/>
                <w:sz w:val="19"/>
                <w:lang w:val="lv-LV"/>
              </w:rPr>
              <w:t>Vērtējuma pamatojums</w:t>
            </w:r>
          </w:p>
        </w:tc>
        <w:tc>
          <w:tcPr>
            <w:tcW w:w="1699" w:type="pct"/>
            <w:vAlign w:val="center"/>
          </w:tcPr>
          <w:p w:rsidR="0013380C" w:rsidRPr="00D174C6" w:rsidRDefault="0013380C" w:rsidP="006F63CE">
            <w:pPr>
              <w:jc w:val="center"/>
              <w:rPr>
                <w:rFonts w:ascii="Cambria" w:hAnsi="Cambria"/>
                <w:sz w:val="19"/>
                <w:lang w:val="lv-LV"/>
              </w:rPr>
            </w:pPr>
            <w:r w:rsidRPr="00D174C6">
              <w:rPr>
                <w:rFonts w:ascii="Cambria" w:hAnsi="Cambria"/>
                <w:sz w:val="19"/>
                <w:lang w:val="lv-LV"/>
              </w:rPr>
              <w:t>Atsauce uz iestādes iekšējiem dokumentiem, norādot atbilstošo punktu</w:t>
            </w:r>
          </w:p>
        </w:tc>
      </w:tr>
      <w:tr w:rsidR="0013380C" w:rsidRPr="00D174C6" w:rsidTr="006F63CE">
        <w:tc>
          <w:tcPr>
            <w:tcW w:w="697" w:type="pct"/>
            <w:vAlign w:val="center"/>
          </w:tcPr>
          <w:p w:rsidR="0013380C" w:rsidRPr="00D174C6" w:rsidRDefault="0013380C" w:rsidP="006F63CE">
            <w:pPr>
              <w:jc w:val="center"/>
              <w:rPr>
                <w:rFonts w:ascii="Cambria" w:hAnsi="Cambria"/>
                <w:sz w:val="19"/>
                <w:lang w:val="lv-LV"/>
              </w:rPr>
            </w:pPr>
          </w:p>
        </w:tc>
        <w:tc>
          <w:tcPr>
            <w:tcW w:w="2604" w:type="pct"/>
            <w:vAlign w:val="center"/>
          </w:tcPr>
          <w:p w:rsidR="0013380C" w:rsidRPr="00D174C6" w:rsidRDefault="0013380C" w:rsidP="006F63CE">
            <w:pPr>
              <w:jc w:val="center"/>
              <w:rPr>
                <w:rFonts w:ascii="Cambria" w:hAnsi="Cambria"/>
                <w:sz w:val="19"/>
                <w:lang w:val="lv-LV"/>
              </w:rPr>
            </w:pPr>
          </w:p>
        </w:tc>
        <w:tc>
          <w:tcPr>
            <w:tcW w:w="1699" w:type="pct"/>
            <w:vAlign w:val="center"/>
          </w:tcPr>
          <w:p w:rsidR="0013380C" w:rsidRPr="00D174C6"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8"/>
        </w:rPr>
      </w:pPr>
      <w:r w:rsidRPr="00F93B29">
        <w:rPr>
          <w:rFonts w:ascii="Cambria" w:hAnsi="Cambria"/>
          <w:sz w:val="19"/>
          <w:szCs w:val="24"/>
        </w:rPr>
        <w:t xml:space="preserve">24. </w:t>
      </w:r>
      <w:r w:rsidRPr="00F93B29">
        <w:rPr>
          <w:rFonts w:ascii="Cambria" w:eastAsia="Arial Unicode MS" w:hAnsi="Cambria"/>
          <w:sz w:val="19"/>
          <w:szCs w:val="24"/>
          <w:shd w:val="clear" w:color="auto" w:fill="FFFFFF"/>
        </w:rPr>
        <w:t>Iestāde nosaka atbilstošus minimālos zaudējumu sliekšņus, sākot ar kuriem apkopo iekšējos datus par zaudējumiem</w:t>
      </w:r>
      <w:r w:rsidRPr="00F93B29">
        <w:rPr>
          <w:rFonts w:ascii="Cambria" w:hAnsi="Cambria"/>
          <w:sz w:val="19"/>
          <w:szCs w:val="28"/>
        </w:rPr>
        <w:t>.</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D174C6" w:rsidTr="006F63CE">
        <w:tc>
          <w:tcPr>
            <w:tcW w:w="697" w:type="pct"/>
            <w:vAlign w:val="center"/>
          </w:tcPr>
          <w:p w:rsidR="0013380C" w:rsidRPr="00D174C6" w:rsidRDefault="0013380C" w:rsidP="006F63CE">
            <w:pPr>
              <w:jc w:val="center"/>
              <w:rPr>
                <w:rFonts w:ascii="Cambria" w:hAnsi="Cambria"/>
                <w:sz w:val="19"/>
                <w:lang w:val="lv-LV"/>
              </w:rPr>
            </w:pPr>
            <w:r w:rsidRPr="00D174C6">
              <w:rPr>
                <w:rFonts w:ascii="Cambria" w:hAnsi="Cambria"/>
                <w:sz w:val="19"/>
                <w:lang w:val="lv-LV"/>
              </w:rPr>
              <w:t>Atbilstības izvērtējums*</w:t>
            </w:r>
          </w:p>
        </w:tc>
        <w:tc>
          <w:tcPr>
            <w:tcW w:w="2604" w:type="pct"/>
            <w:vAlign w:val="center"/>
          </w:tcPr>
          <w:p w:rsidR="0013380C" w:rsidRPr="00D174C6" w:rsidRDefault="0013380C" w:rsidP="006F63CE">
            <w:pPr>
              <w:jc w:val="center"/>
              <w:rPr>
                <w:rFonts w:ascii="Cambria" w:hAnsi="Cambria"/>
                <w:sz w:val="19"/>
                <w:lang w:val="lv-LV"/>
              </w:rPr>
            </w:pPr>
            <w:r w:rsidRPr="00D174C6">
              <w:rPr>
                <w:rFonts w:ascii="Cambria" w:hAnsi="Cambria"/>
                <w:sz w:val="19"/>
                <w:lang w:val="lv-LV"/>
              </w:rPr>
              <w:t>Vērtējuma pamatojums</w:t>
            </w:r>
          </w:p>
        </w:tc>
        <w:tc>
          <w:tcPr>
            <w:tcW w:w="1699" w:type="pct"/>
            <w:vAlign w:val="center"/>
          </w:tcPr>
          <w:p w:rsidR="0013380C" w:rsidRPr="00D174C6" w:rsidRDefault="0013380C" w:rsidP="006F63CE">
            <w:pPr>
              <w:jc w:val="center"/>
              <w:rPr>
                <w:rFonts w:ascii="Cambria" w:hAnsi="Cambria"/>
                <w:sz w:val="19"/>
                <w:lang w:val="lv-LV"/>
              </w:rPr>
            </w:pPr>
            <w:r w:rsidRPr="00D174C6">
              <w:rPr>
                <w:rFonts w:ascii="Cambria" w:hAnsi="Cambria"/>
                <w:sz w:val="19"/>
                <w:lang w:val="lv-LV"/>
              </w:rPr>
              <w:t>Atsauce uz iestādes iekšējiem dokumentiem, norādot atbilstošo punktu</w:t>
            </w:r>
          </w:p>
        </w:tc>
      </w:tr>
      <w:tr w:rsidR="0013380C" w:rsidRPr="00D174C6" w:rsidTr="006F63CE">
        <w:tc>
          <w:tcPr>
            <w:tcW w:w="697" w:type="pct"/>
            <w:vAlign w:val="center"/>
          </w:tcPr>
          <w:p w:rsidR="0013380C" w:rsidRPr="00D174C6" w:rsidRDefault="0013380C" w:rsidP="006F63CE">
            <w:pPr>
              <w:jc w:val="center"/>
              <w:rPr>
                <w:rFonts w:ascii="Cambria" w:hAnsi="Cambria"/>
                <w:sz w:val="19"/>
                <w:lang w:val="lv-LV"/>
              </w:rPr>
            </w:pPr>
          </w:p>
        </w:tc>
        <w:tc>
          <w:tcPr>
            <w:tcW w:w="2604" w:type="pct"/>
            <w:vAlign w:val="center"/>
          </w:tcPr>
          <w:p w:rsidR="0013380C" w:rsidRPr="00D174C6" w:rsidRDefault="0013380C" w:rsidP="006F63CE">
            <w:pPr>
              <w:jc w:val="center"/>
              <w:rPr>
                <w:rFonts w:ascii="Cambria" w:hAnsi="Cambria"/>
                <w:sz w:val="19"/>
                <w:lang w:val="lv-LV"/>
              </w:rPr>
            </w:pPr>
          </w:p>
        </w:tc>
        <w:tc>
          <w:tcPr>
            <w:tcW w:w="1699" w:type="pct"/>
            <w:vAlign w:val="center"/>
          </w:tcPr>
          <w:p w:rsidR="0013380C" w:rsidRPr="00D174C6"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25. Papildus informācijai par bruto zaudējumu summām iestāde apkopo informāciju par zaudējumu notikumu datumu, bruto zaudējumu summu atgūšanu un aprakstošu informāciju par zaudējumu notikuma izraisītājiem vai cēloņiem.</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D174C6" w:rsidTr="006F63CE">
        <w:tc>
          <w:tcPr>
            <w:tcW w:w="697" w:type="pct"/>
            <w:vAlign w:val="center"/>
          </w:tcPr>
          <w:p w:rsidR="0013380C" w:rsidRPr="00D174C6" w:rsidRDefault="0013380C" w:rsidP="006F63CE">
            <w:pPr>
              <w:jc w:val="center"/>
              <w:rPr>
                <w:rFonts w:ascii="Cambria" w:hAnsi="Cambria"/>
                <w:sz w:val="19"/>
                <w:lang w:val="lv-LV"/>
              </w:rPr>
            </w:pPr>
            <w:r w:rsidRPr="00D174C6">
              <w:rPr>
                <w:rFonts w:ascii="Cambria" w:hAnsi="Cambria"/>
                <w:sz w:val="19"/>
                <w:lang w:val="lv-LV"/>
              </w:rPr>
              <w:t>Atbilstības izvērtējums*</w:t>
            </w:r>
          </w:p>
        </w:tc>
        <w:tc>
          <w:tcPr>
            <w:tcW w:w="2604" w:type="pct"/>
            <w:vAlign w:val="center"/>
          </w:tcPr>
          <w:p w:rsidR="0013380C" w:rsidRPr="00D174C6" w:rsidRDefault="0013380C" w:rsidP="006F63CE">
            <w:pPr>
              <w:jc w:val="center"/>
              <w:rPr>
                <w:rFonts w:ascii="Cambria" w:hAnsi="Cambria"/>
                <w:sz w:val="19"/>
                <w:lang w:val="lv-LV"/>
              </w:rPr>
            </w:pPr>
            <w:r w:rsidRPr="00D174C6">
              <w:rPr>
                <w:rFonts w:ascii="Cambria" w:hAnsi="Cambria"/>
                <w:sz w:val="19"/>
                <w:lang w:val="lv-LV"/>
              </w:rPr>
              <w:t>Vērtējuma pamatojums</w:t>
            </w:r>
          </w:p>
        </w:tc>
        <w:tc>
          <w:tcPr>
            <w:tcW w:w="1699" w:type="pct"/>
            <w:vAlign w:val="center"/>
          </w:tcPr>
          <w:p w:rsidR="0013380C" w:rsidRPr="00D174C6" w:rsidRDefault="0013380C" w:rsidP="006F63CE">
            <w:pPr>
              <w:jc w:val="center"/>
              <w:rPr>
                <w:rFonts w:ascii="Cambria" w:hAnsi="Cambria"/>
                <w:sz w:val="19"/>
                <w:lang w:val="lv-LV"/>
              </w:rPr>
            </w:pPr>
            <w:r w:rsidRPr="00D174C6">
              <w:rPr>
                <w:rFonts w:ascii="Cambria" w:hAnsi="Cambria"/>
                <w:sz w:val="19"/>
                <w:lang w:val="lv-LV"/>
              </w:rPr>
              <w:t>Atsauce uz iestādes iekšējiem dokumentiem, norādot atbilstošo punktu</w:t>
            </w:r>
          </w:p>
        </w:tc>
      </w:tr>
      <w:tr w:rsidR="0013380C" w:rsidRPr="00D174C6" w:rsidTr="006F63CE">
        <w:tc>
          <w:tcPr>
            <w:tcW w:w="697" w:type="pct"/>
            <w:vAlign w:val="center"/>
          </w:tcPr>
          <w:p w:rsidR="0013380C" w:rsidRPr="00D174C6" w:rsidRDefault="0013380C" w:rsidP="006F63CE">
            <w:pPr>
              <w:jc w:val="center"/>
              <w:rPr>
                <w:rFonts w:ascii="Cambria" w:hAnsi="Cambria"/>
                <w:sz w:val="19"/>
                <w:lang w:val="lv-LV"/>
              </w:rPr>
            </w:pPr>
          </w:p>
        </w:tc>
        <w:tc>
          <w:tcPr>
            <w:tcW w:w="2604" w:type="pct"/>
            <w:vAlign w:val="center"/>
          </w:tcPr>
          <w:p w:rsidR="0013380C" w:rsidRPr="00D174C6" w:rsidRDefault="0013380C" w:rsidP="006F63CE">
            <w:pPr>
              <w:jc w:val="center"/>
              <w:rPr>
                <w:rFonts w:ascii="Cambria" w:hAnsi="Cambria"/>
                <w:sz w:val="19"/>
                <w:lang w:val="lv-LV"/>
              </w:rPr>
            </w:pPr>
          </w:p>
        </w:tc>
        <w:tc>
          <w:tcPr>
            <w:tcW w:w="1699" w:type="pct"/>
            <w:vAlign w:val="center"/>
          </w:tcPr>
          <w:p w:rsidR="0013380C" w:rsidRPr="00D174C6"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 xml:space="preserve">26. </w:t>
      </w:r>
      <w:r w:rsidRPr="00F93B29">
        <w:rPr>
          <w:rFonts w:ascii="Cambria" w:eastAsia="Arial Unicode MS" w:hAnsi="Cambria"/>
          <w:sz w:val="19"/>
          <w:szCs w:val="24"/>
          <w:shd w:val="clear" w:color="auto" w:fill="FFFFFF"/>
        </w:rPr>
        <w:t>Iestādei ir īpaši kritēriji datu klasifikācijai zaudējumiem, kas rodas no zaudējumu notikuma centralizētā funkcijā vai darbībā, kura aptver vairāk nekā vienu darbības jomu, kā arī no vairākiem saistītiem notikumiem laika gaitā</w:t>
      </w:r>
      <w:r w:rsidRPr="00F93B29">
        <w:rPr>
          <w:rFonts w:ascii="Cambria" w:hAnsi="Cambria"/>
          <w:sz w:val="19"/>
          <w:szCs w:val="24"/>
        </w:rPr>
        <w:t>.</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D174C6" w:rsidTr="006F63CE">
        <w:tc>
          <w:tcPr>
            <w:tcW w:w="697" w:type="pct"/>
            <w:vAlign w:val="center"/>
          </w:tcPr>
          <w:p w:rsidR="0013380C" w:rsidRPr="00D174C6" w:rsidRDefault="0013380C" w:rsidP="006F63CE">
            <w:pPr>
              <w:jc w:val="center"/>
              <w:rPr>
                <w:rFonts w:ascii="Cambria" w:hAnsi="Cambria"/>
                <w:sz w:val="19"/>
                <w:lang w:val="lv-LV"/>
              </w:rPr>
            </w:pPr>
            <w:r w:rsidRPr="00D174C6">
              <w:rPr>
                <w:rFonts w:ascii="Cambria" w:hAnsi="Cambria"/>
                <w:sz w:val="19"/>
                <w:lang w:val="lv-LV"/>
              </w:rPr>
              <w:t>Atbilstības izvērtējums*</w:t>
            </w:r>
          </w:p>
        </w:tc>
        <w:tc>
          <w:tcPr>
            <w:tcW w:w="2604" w:type="pct"/>
            <w:vAlign w:val="center"/>
          </w:tcPr>
          <w:p w:rsidR="0013380C" w:rsidRPr="00D174C6" w:rsidRDefault="0013380C" w:rsidP="006F63CE">
            <w:pPr>
              <w:jc w:val="center"/>
              <w:rPr>
                <w:rFonts w:ascii="Cambria" w:hAnsi="Cambria"/>
                <w:sz w:val="19"/>
                <w:lang w:val="lv-LV"/>
              </w:rPr>
            </w:pPr>
            <w:r w:rsidRPr="00D174C6">
              <w:rPr>
                <w:rFonts w:ascii="Cambria" w:hAnsi="Cambria"/>
                <w:sz w:val="19"/>
                <w:lang w:val="lv-LV"/>
              </w:rPr>
              <w:t>Vērtējuma pamatojums</w:t>
            </w:r>
          </w:p>
        </w:tc>
        <w:tc>
          <w:tcPr>
            <w:tcW w:w="1699" w:type="pct"/>
            <w:vAlign w:val="center"/>
          </w:tcPr>
          <w:p w:rsidR="0013380C" w:rsidRPr="00D174C6" w:rsidRDefault="0013380C" w:rsidP="006F63CE">
            <w:pPr>
              <w:jc w:val="center"/>
              <w:rPr>
                <w:rFonts w:ascii="Cambria" w:hAnsi="Cambria"/>
                <w:sz w:val="19"/>
                <w:lang w:val="lv-LV"/>
              </w:rPr>
            </w:pPr>
            <w:r w:rsidRPr="00D174C6">
              <w:rPr>
                <w:rFonts w:ascii="Cambria" w:hAnsi="Cambria"/>
                <w:sz w:val="19"/>
                <w:lang w:val="lv-LV"/>
              </w:rPr>
              <w:t>Atsauce uz iestādes iekšējiem dokumentiem, norādot atbilstošo punktu</w:t>
            </w:r>
          </w:p>
        </w:tc>
      </w:tr>
      <w:tr w:rsidR="0013380C" w:rsidRPr="00D174C6" w:rsidTr="006F63CE">
        <w:tc>
          <w:tcPr>
            <w:tcW w:w="697" w:type="pct"/>
            <w:vAlign w:val="center"/>
          </w:tcPr>
          <w:p w:rsidR="0013380C" w:rsidRPr="00D174C6" w:rsidRDefault="0013380C" w:rsidP="006F63CE">
            <w:pPr>
              <w:jc w:val="center"/>
              <w:rPr>
                <w:rFonts w:ascii="Cambria" w:hAnsi="Cambria"/>
                <w:sz w:val="19"/>
                <w:lang w:val="lv-LV"/>
              </w:rPr>
            </w:pPr>
          </w:p>
        </w:tc>
        <w:tc>
          <w:tcPr>
            <w:tcW w:w="2604" w:type="pct"/>
            <w:vAlign w:val="center"/>
          </w:tcPr>
          <w:p w:rsidR="0013380C" w:rsidRPr="00D174C6" w:rsidRDefault="0013380C" w:rsidP="006F63CE">
            <w:pPr>
              <w:jc w:val="center"/>
              <w:rPr>
                <w:rFonts w:ascii="Cambria" w:hAnsi="Cambria"/>
                <w:sz w:val="19"/>
                <w:lang w:val="lv-LV"/>
              </w:rPr>
            </w:pPr>
          </w:p>
        </w:tc>
        <w:tc>
          <w:tcPr>
            <w:tcW w:w="1699" w:type="pct"/>
            <w:vAlign w:val="center"/>
          </w:tcPr>
          <w:p w:rsidR="0013380C" w:rsidRPr="00D174C6"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rPr>
      </w:pPr>
    </w:p>
    <w:p w:rsidR="0013380C" w:rsidRPr="00F93B29" w:rsidRDefault="0013380C" w:rsidP="0013380C">
      <w:pPr>
        <w:pStyle w:val="Teksts2"/>
        <w:spacing w:line="260" w:lineRule="exact"/>
        <w:rPr>
          <w:rFonts w:ascii="Cambria" w:hAnsi="Cambria"/>
          <w:sz w:val="19"/>
          <w:szCs w:val="24"/>
        </w:rPr>
      </w:pPr>
      <w:r>
        <w:rPr>
          <w:rFonts w:ascii="Cambria" w:hAnsi="Cambria"/>
          <w:sz w:val="19"/>
          <w:szCs w:val="24"/>
        </w:rPr>
        <w:br w:type="page"/>
      </w:r>
      <w:r w:rsidRPr="00F93B29">
        <w:rPr>
          <w:rFonts w:ascii="Cambria" w:hAnsi="Cambria"/>
          <w:sz w:val="19"/>
          <w:szCs w:val="24"/>
        </w:rPr>
        <w:lastRenderedPageBreak/>
        <w:t xml:space="preserve">27. Iestādei ir dokumentētas procedūras tās vēsturisko zaudējumu datu svarīguma patstāvīgai novērtēšanai. </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891455" w:rsidTr="006F63CE">
        <w:tc>
          <w:tcPr>
            <w:tcW w:w="697"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Atbilstības izvērtējums*</w:t>
            </w:r>
          </w:p>
        </w:tc>
        <w:tc>
          <w:tcPr>
            <w:tcW w:w="2604"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Vērtējuma pamatojums</w:t>
            </w:r>
          </w:p>
        </w:tc>
        <w:tc>
          <w:tcPr>
            <w:tcW w:w="1699"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Atsauce uz iestādes iekšējiem dokumentiem, norādot atbilstošo punktu</w:t>
            </w:r>
          </w:p>
        </w:tc>
      </w:tr>
      <w:tr w:rsidR="0013380C" w:rsidRPr="00891455" w:rsidTr="006F63CE">
        <w:tc>
          <w:tcPr>
            <w:tcW w:w="697" w:type="pct"/>
            <w:vAlign w:val="center"/>
          </w:tcPr>
          <w:p w:rsidR="0013380C" w:rsidRPr="00891455" w:rsidRDefault="0013380C" w:rsidP="006F63CE">
            <w:pPr>
              <w:jc w:val="center"/>
              <w:rPr>
                <w:rFonts w:ascii="Cambria" w:hAnsi="Cambria"/>
                <w:sz w:val="19"/>
                <w:lang w:val="lv-LV"/>
              </w:rPr>
            </w:pPr>
          </w:p>
        </w:tc>
        <w:tc>
          <w:tcPr>
            <w:tcW w:w="2604" w:type="pct"/>
            <w:vAlign w:val="center"/>
          </w:tcPr>
          <w:p w:rsidR="0013380C" w:rsidRPr="00891455" w:rsidRDefault="0013380C" w:rsidP="006F63CE">
            <w:pPr>
              <w:jc w:val="center"/>
              <w:rPr>
                <w:rFonts w:ascii="Cambria" w:hAnsi="Cambria"/>
                <w:sz w:val="19"/>
                <w:lang w:val="lv-LV"/>
              </w:rPr>
            </w:pPr>
          </w:p>
        </w:tc>
        <w:tc>
          <w:tcPr>
            <w:tcW w:w="1699" w:type="pct"/>
            <w:vAlign w:val="center"/>
          </w:tcPr>
          <w:p w:rsidR="0013380C" w:rsidRPr="00891455"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28. Iestādei ir dokumentētas procedūras arī situācijām, kurās iespējama lēmuma ignorēšana, mērogošana vai citas korekcijas, ciktāl tās drīkst izmantot, kā arī ņemot vērā, kas ir pilnvarots pieņemt šādus lēmumus.</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891455" w:rsidTr="006F63CE">
        <w:tc>
          <w:tcPr>
            <w:tcW w:w="697"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Atbilstības izvērtējums*</w:t>
            </w:r>
          </w:p>
        </w:tc>
        <w:tc>
          <w:tcPr>
            <w:tcW w:w="2604"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Vērtējuma pamatojums</w:t>
            </w:r>
          </w:p>
        </w:tc>
        <w:tc>
          <w:tcPr>
            <w:tcW w:w="1699"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Atsauce uz iestādes iekšējiem dokumentiem, norādot atbilstošo punktu</w:t>
            </w:r>
          </w:p>
        </w:tc>
      </w:tr>
      <w:tr w:rsidR="0013380C" w:rsidRPr="00891455" w:rsidTr="006F63CE">
        <w:tc>
          <w:tcPr>
            <w:tcW w:w="697" w:type="pct"/>
            <w:vAlign w:val="center"/>
          </w:tcPr>
          <w:p w:rsidR="0013380C" w:rsidRPr="00891455" w:rsidRDefault="0013380C" w:rsidP="006F63CE">
            <w:pPr>
              <w:jc w:val="center"/>
              <w:rPr>
                <w:rFonts w:ascii="Cambria" w:hAnsi="Cambria"/>
                <w:sz w:val="19"/>
                <w:lang w:val="lv-LV"/>
              </w:rPr>
            </w:pPr>
          </w:p>
        </w:tc>
        <w:tc>
          <w:tcPr>
            <w:tcW w:w="2604" w:type="pct"/>
            <w:vAlign w:val="center"/>
          </w:tcPr>
          <w:p w:rsidR="0013380C" w:rsidRPr="00891455" w:rsidRDefault="0013380C" w:rsidP="006F63CE">
            <w:pPr>
              <w:jc w:val="center"/>
              <w:rPr>
                <w:rFonts w:ascii="Cambria" w:hAnsi="Cambria"/>
                <w:sz w:val="19"/>
                <w:lang w:val="lv-LV"/>
              </w:rPr>
            </w:pPr>
          </w:p>
        </w:tc>
        <w:tc>
          <w:tcPr>
            <w:tcW w:w="1699" w:type="pct"/>
            <w:vAlign w:val="center"/>
          </w:tcPr>
          <w:p w:rsidR="0013380C" w:rsidRPr="00891455"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b/>
          <w:bCs/>
          <w:sz w:val="19"/>
          <w:szCs w:val="24"/>
        </w:rPr>
      </w:pPr>
    </w:p>
    <w:p w:rsidR="0013380C" w:rsidRPr="00F93B29" w:rsidRDefault="0013380C" w:rsidP="0013380C">
      <w:pPr>
        <w:pStyle w:val="Teksts2"/>
        <w:spacing w:line="260" w:lineRule="exact"/>
        <w:rPr>
          <w:rFonts w:ascii="Cambria" w:hAnsi="Cambria"/>
          <w:b/>
          <w:bCs/>
          <w:sz w:val="19"/>
          <w:szCs w:val="24"/>
        </w:rPr>
      </w:pPr>
      <w:r w:rsidRPr="00F93B29">
        <w:rPr>
          <w:rFonts w:ascii="Cambria" w:hAnsi="Cambria"/>
          <w:b/>
          <w:bCs/>
          <w:sz w:val="19"/>
          <w:szCs w:val="24"/>
        </w:rPr>
        <w:t>2.3. Ar ārējiem datiem saistīti atbilstības standarti</w:t>
      </w:r>
    </w:p>
    <w:p w:rsidR="0013380C" w:rsidRPr="00F93B29" w:rsidRDefault="0013380C" w:rsidP="0013380C">
      <w:pPr>
        <w:pStyle w:val="Teksts2"/>
        <w:spacing w:line="260" w:lineRule="exact"/>
        <w:rPr>
          <w:rFonts w:ascii="Cambria" w:hAnsi="Cambria"/>
          <w:b/>
          <w:bCs/>
          <w:i/>
          <w:iCs/>
          <w:sz w:val="19"/>
          <w:szCs w:val="24"/>
          <w:highlight w:val="lightGray"/>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 xml:space="preserve">29. </w:t>
      </w:r>
      <w:r w:rsidRPr="00F93B29">
        <w:rPr>
          <w:rFonts w:ascii="Cambria" w:eastAsia="Arial Unicode MS" w:hAnsi="Cambria"/>
          <w:sz w:val="19"/>
          <w:szCs w:val="24"/>
          <w:shd w:val="clear" w:color="auto" w:fill="FFFFFF"/>
        </w:rPr>
        <w:t>Iestāde operacionālā riska mērīšanas sistēmā izmanto attiecīgus ārējos datus, jo īpaši tad, ja ir pamats uzskatīt, ka iestāde ir pakļauta retiem, tomēr potenciāli būtiskiem zaudējumiem</w:t>
      </w:r>
      <w:r>
        <w:rPr>
          <w:rFonts w:ascii="Cambria" w:hAnsi="Cambria"/>
          <w:sz w:val="19"/>
          <w:szCs w:val="24"/>
        </w:rPr>
        <w:t>.</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891455" w:rsidTr="006F63CE">
        <w:tc>
          <w:tcPr>
            <w:tcW w:w="697"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Atbilstības izvērtējums*</w:t>
            </w:r>
          </w:p>
        </w:tc>
        <w:tc>
          <w:tcPr>
            <w:tcW w:w="2604"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Vērtējuma pamatojums</w:t>
            </w:r>
          </w:p>
        </w:tc>
        <w:tc>
          <w:tcPr>
            <w:tcW w:w="1699"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Atsauce uz iestādes iekšējiem dokumentiem, norādot atbilstošo punktu</w:t>
            </w:r>
          </w:p>
        </w:tc>
      </w:tr>
      <w:tr w:rsidR="0013380C" w:rsidRPr="00891455" w:rsidTr="006F63CE">
        <w:tc>
          <w:tcPr>
            <w:tcW w:w="697" w:type="pct"/>
            <w:vAlign w:val="center"/>
          </w:tcPr>
          <w:p w:rsidR="0013380C" w:rsidRPr="00891455" w:rsidRDefault="0013380C" w:rsidP="006F63CE">
            <w:pPr>
              <w:jc w:val="center"/>
              <w:rPr>
                <w:rFonts w:ascii="Cambria" w:hAnsi="Cambria"/>
                <w:sz w:val="19"/>
                <w:lang w:val="lv-LV"/>
              </w:rPr>
            </w:pPr>
          </w:p>
        </w:tc>
        <w:tc>
          <w:tcPr>
            <w:tcW w:w="2604" w:type="pct"/>
            <w:vAlign w:val="center"/>
          </w:tcPr>
          <w:p w:rsidR="0013380C" w:rsidRPr="00891455" w:rsidRDefault="0013380C" w:rsidP="006F63CE">
            <w:pPr>
              <w:jc w:val="center"/>
              <w:rPr>
                <w:rFonts w:ascii="Cambria" w:hAnsi="Cambria"/>
                <w:sz w:val="19"/>
                <w:lang w:val="lv-LV"/>
              </w:rPr>
            </w:pPr>
          </w:p>
        </w:tc>
        <w:tc>
          <w:tcPr>
            <w:tcW w:w="1699" w:type="pct"/>
            <w:vAlign w:val="center"/>
          </w:tcPr>
          <w:p w:rsidR="0013380C" w:rsidRPr="00891455"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30. I</w:t>
      </w:r>
      <w:r w:rsidRPr="00F93B29">
        <w:rPr>
          <w:rFonts w:ascii="Cambria" w:eastAsia="Arial Unicode MS" w:hAnsi="Cambria"/>
          <w:sz w:val="19"/>
          <w:szCs w:val="24"/>
          <w:shd w:val="clear" w:color="auto" w:fill="FFFFFF"/>
        </w:rPr>
        <w:t>estādei ir sistemātisks process, lai noteiktu situācijas, kurām izmanto ārējos datus, un metodoloģijas datu iekļaušanai tās mērīšanas sistēmā</w:t>
      </w:r>
      <w:r w:rsidRPr="00F93B29">
        <w:rPr>
          <w:rFonts w:ascii="Cambria" w:hAnsi="Cambria"/>
          <w:sz w:val="19"/>
          <w:szCs w:val="24"/>
        </w:rPr>
        <w:t>.</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891455" w:rsidTr="006F63CE">
        <w:tc>
          <w:tcPr>
            <w:tcW w:w="697"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Atbilstības izvērtējums*</w:t>
            </w:r>
          </w:p>
        </w:tc>
        <w:tc>
          <w:tcPr>
            <w:tcW w:w="2604"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Vērtējuma pamatojums</w:t>
            </w:r>
          </w:p>
        </w:tc>
        <w:tc>
          <w:tcPr>
            <w:tcW w:w="1699"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Atsauce uz iestādes iekšējiem dokumentiem, norādot atbilstošo punktu</w:t>
            </w:r>
          </w:p>
        </w:tc>
      </w:tr>
      <w:tr w:rsidR="0013380C" w:rsidRPr="00891455" w:rsidTr="006F63CE">
        <w:tc>
          <w:tcPr>
            <w:tcW w:w="697" w:type="pct"/>
            <w:vAlign w:val="center"/>
          </w:tcPr>
          <w:p w:rsidR="0013380C" w:rsidRPr="00891455" w:rsidRDefault="0013380C" w:rsidP="006F63CE">
            <w:pPr>
              <w:jc w:val="center"/>
              <w:rPr>
                <w:rFonts w:ascii="Cambria" w:hAnsi="Cambria"/>
                <w:sz w:val="19"/>
                <w:lang w:val="lv-LV"/>
              </w:rPr>
            </w:pPr>
          </w:p>
        </w:tc>
        <w:tc>
          <w:tcPr>
            <w:tcW w:w="2604" w:type="pct"/>
            <w:vAlign w:val="center"/>
          </w:tcPr>
          <w:p w:rsidR="0013380C" w:rsidRPr="00891455" w:rsidRDefault="0013380C" w:rsidP="006F63CE">
            <w:pPr>
              <w:jc w:val="center"/>
              <w:rPr>
                <w:rFonts w:ascii="Cambria" w:hAnsi="Cambria"/>
                <w:sz w:val="19"/>
                <w:lang w:val="lv-LV"/>
              </w:rPr>
            </w:pPr>
          </w:p>
        </w:tc>
        <w:tc>
          <w:tcPr>
            <w:tcW w:w="1699" w:type="pct"/>
            <w:vAlign w:val="center"/>
          </w:tcPr>
          <w:p w:rsidR="0013380C" w:rsidRPr="00891455"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highlight w:val="lightGray"/>
        </w:rPr>
      </w:pPr>
      <w:r>
        <w:rPr>
          <w:rFonts w:ascii="Cambria" w:hAnsi="Cambria"/>
          <w:sz w:val="19"/>
          <w:szCs w:val="24"/>
        </w:rPr>
        <w:br w:type="page"/>
      </w:r>
      <w:r w:rsidRPr="00F93B29">
        <w:rPr>
          <w:rFonts w:ascii="Cambria" w:hAnsi="Cambria"/>
          <w:sz w:val="19"/>
          <w:szCs w:val="24"/>
        </w:rPr>
        <w:lastRenderedPageBreak/>
        <w:t>31. I</w:t>
      </w:r>
      <w:r w:rsidRPr="00F93B29">
        <w:rPr>
          <w:rFonts w:ascii="Cambria" w:eastAsia="Arial Unicode MS" w:hAnsi="Cambria"/>
          <w:sz w:val="19"/>
          <w:szCs w:val="24"/>
          <w:shd w:val="clear" w:color="auto" w:fill="FFFFFF"/>
        </w:rPr>
        <w:t>estāde regulāri pārskata ārējo datu izmantošanas nosacījumus un prakses, kā arī tos dokumentē un piemēro periodisku neatkarīgu pārbaudi</w:t>
      </w:r>
      <w:r w:rsidRPr="00F93B29">
        <w:rPr>
          <w:rFonts w:ascii="Cambria" w:hAnsi="Cambria"/>
          <w:sz w:val="19"/>
          <w:szCs w:val="24"/>
        </w:rPr>
        <w:t>.</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891455" w:rsidTr="006F63CE">
        <w:tc>
          <w:tcPr>
            <w:tcW w:w="697"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Atbilstības izvērtējums*</w:t>
            </w:r>
          </w:p>
        </w:tc>
        <w:tc>
          <w:tcPr>
            <w:tcW w:w="2604"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Vērtējuma pamatojums</w:t>
            </w:r>
          </w:p>
        </w:tc>
        <w:tc>
          <w:tcPr>
            <w:tcW w:w="1699"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Atsauce uz iestādes iekšējiem dokumentiem, norādot atbilstošo punktu</w:t>
            </w:r>
          </w:p>
        </w:tc>
      </w:tr>
      <w:tr w:rsidR="0013380C" w:rsidRPr="00891455" w:rsidTr="006F63CE">
        <w:tc>
          <w:tcPr>
            <w:tcW w:w="697" w:type="pct"/>
            <w:vAlign w:val="center"/>
          </w:tcPr>
          <w:p w:rsidR="0013380C" w:rsidRPr="00891455" w:rsidRDefault="0013380C" w:rsidP="006F63CE">
            <w:pPr>
              <w:jc w:val="center"/>
              <w:rPr>
                <w:rFonts w:ascii="Cambria" w:hAnsi="Cambria"/>
                <w:sz w:val="19"/>
                <w:lang w:val="lv-LV"/>
              </w:rPr>
            </w:pPr>
          </w:p>
        </w:tc>
        <w:tc>
          <w:tcPr>
            <w:tcW w:w="2604" w:type="pct"/>
            <w:vAlign w:val="center"/>
          </w:tcPr>
          <w:p w:rsidR="0013380C" w:rsidRPr="00891455" w:rsidRDefault="0013380C" w:rsidP="006F63CE">
            <w:pPr>
              <w:jc w:val="center"/>
              <w:rPr>
                <w:rFonts w:ascii="Cambria" w:hAnsi="Cambria"/>
                <w:sz w:val="19"/>
                <w:lang w:val="lv-LV"/>
              </w:rPr>
            </w:pPr>
          </w:p>
        </w:tc>
        <w:tc>
          <w:tcPr>
            <w:tcW w:w="1699" w:type="pct"/>
            <w:vAlign w:val="center"/>
          </w:tcPr>
          <w:p w:rsidR="0013380C" w:rsidRPr="00891455"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b/>
          <w:bCs/>
          <w:sz w:val="19"/>
          <w:szCs w:val="24"/>
        </w:rPr>
      </w:pPr>
    </w:p>
    <w:p w:rsidR="0013380C" w:rsidRPr="00F93B29" w:rsidRDefault="0013380C" w:rsidP="0013380C">
      <w:pPr>
        <w:pStyle w:val="Teksts2"/>
        <w:spacing w:line="260" w:lineRule="exact"/>
        <w:rPr>
          <w:rFonts w:ascii="Cambria" w:hAnsi="Cambria"/>
          <w:b/>
          <w:bCs/>
          <w:sz w:val="19"/>
          <w:szCs w:val="24"/>
        </w:rPr>
      </w:pPr>
      <w:r w:rsidRPr="00F93B29">
        <w:rPr>
          <w:rFonts w:ascii="Cambria" w:hAnsi="Cambria"/>
          <w:b/>
          <w:bCs/>
          <w:sz w:val="19"/>
          <w:szCs w:val="24"/>
        </w:rPr>
        <w:t>2.4. Scenāriju analīze</w:t>
      </w:r>
    </w:p>
    <w:p w:rsidR="0013380C" w:rsidRPr="00F93B29" w:rsidRDefault="0013380C" w:rsidP="0013380C">
      <w:pPr>
        <w:pStyle w:val="Teksts2"/>
        <w:spacing w:line="260" w:lineRule="exact"/>
        <w:rPr>
          <w:rFonts w:ascii="Cambria" w:hAnsi="Cambria"/>
          <w:sz w:val="19"/>
          <w:szCs w:val="24"/>
          <w:highlight w:val="lightGray"/>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 xml:space="preserve">32. </w:t>
      </w:r>
      <w:r w:rsidRPr="00F93B29">
        <w:rPr>
          <w:rFonts w:ascii="Cambria" w:eastAsia="Arial Unicode MS" w:hAnsi="Cambria"/>
          <w:sz w:val="19"/>
          <w:szCs w:val="24"/>
          <w:shd w:val="clear" w:color="auto" w:fill="FFFFFF"/>
        </w:rPr>
        <w:t>Iestāde izmanto ekspertu atzinumu scenārija analīzi saistībā ar ārējiem datiem, lai novērtētu tās pakļautību notikumiem ar būtisku ietekmi</w:t>
      </w:r>
      <w:r w:rsidRPr="00F93B29">
        <w:rPr>
          <w:rFonts w:ascii="Cambria" w:hAnsi="Cambria"/>
          <w:sz w:val="19"/>
          <w:szCs w:val="24"/>
        </w:rPr>
        <w:t>.</w:t>
      </w:r>
      <w:proofErr w:type="gramStart"/>
      <w:r w:rsidRPr="00F93B29">
        <w:rPr>
          <w:rFonts w:ascii="Cambria" w:hAnsi="Cambria"/>
          <w:sz w:val="19"/>
          <w:szCs w:val="24"/>
        </w:rPr>
        <w:t xml:space="preserve">  </w:t>
      </w:r>
      <w:proofErr w:type="gramEnd"/>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891455" w:rsidTr="006F63CE">
        <w:tc>
          <w:tcPr>
            <w:tcW w:w="697"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Atbilstības izvērtējums*</w:t>
            </w:r>
          </w:p>
        </w:tc>
        <w:tc>
          <w:tcPr>
            <w:tcW w:w="2604"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Vērtējuma pamatojums</w:t>
            </w:r>
          </w:p>
        </w:tc>
        <w:tc>
          <w:tcPr>
            <w:tcW w:w="1699"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Atsauce uz iestādes iekšējiem dokumentiem, norādot atbilstošo punktu</w:t>
            </w:r>
          </w:p>
        </w:tc>
      </w:tr>
      <w:tr w:rsidR="0013380C" w:rsidRPr="00891455" w:rsidTr="006F63CE">
        <w:tc>
          <w:tcPr>
            <w:tcW w:w="697" w:type="pct"/>
            <w:vAlign w:val="center"/>
          </w:tcPr>
          <w:p w:rsidR="0013380C" w:rsidRPr="00891455" w:rsidRDefault="0013380C" w:rsidP="006F63CE">
            <w:pPr>
              <w:jc w:val="center"/>
              <w:rPr>
                <w:rFonts w:ascii="Cambria" w:hAnsi="Cambria"/>
                <w:sz w:val="19"/>
                <w:lang w:val="lv-LV"/>
              </w:rPr>
            </w:pPr>
          </w:p>
        </w:tc>
        <w:tc>
          <w:tcPr>
            <w:tcW w:w="2604" w:type="pct"/>
            <w:vAlign w:val="center"/>
          </w:tcPr>
          <w:p w:rsidR="0013380C" w:rsidRPr="00891455" w:rsidRDefault="0013380C" w:rsidP="006F63CE">
            <w:pPr>
              <w:jc w:val="center"/>
              <w:rPr>
                <w:rFonts w:ascii="Cambria" w:hAnsi="Cambria"/>
                <w:sz w:val="19"/>
                <w:lang w:val="lv-LV"/>
              </w:rPr>
            </w:pPr>
          </w:p>
        </w:tc>
        <w:tc>
          <w:tcPr>
            <w:tcW w:w="1699" w:type="pct"/>
            <w:vAlign w:val="center"/>
          </w:tcPr>
          <w:p w:rsidR="0013380C" w:rsidRPr="00891455"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ab/>
      </w: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33. Iestāde l</w:t>
      </w:r>
      <w:r w:rsidRPr="00F93B29">
        <w:rPr>
          <w:rFonts w:ascii="Cambria" w:eastAsia="Arial Unicode MS" w:hAnsi="Cambria"/>
          <w:sz w:val="19"/>
          <w:szCs w:val="24"/>
          <w:shd w:val="clear" w:color="auto" w:fill="FFFFFF"/>
        </w:rPr>
        <w:t>aika gaitā šādus iestādes novērtējumus validē un atkārtoti izvērtē, veicot salīdzinājumu ar faktisko zaudējumu pieredzi, lai pārbaudītu to pamatotību</w:t>
      </w:r>
      <w:r w:rsidRPr="00F93B29">
        <w:rPr>
          <w:rFonts w:ascii="Cambria" w:hAnsi="Cambria"/>
          <w:sz w:val="19"/>
          <w:szCs w:val="24"/>
        </w:rPr>
        <w:t xml:space="preserve">. </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891455" w:rsidTr="006F63CE">
        <w:tc>
          <w:tcPr>
            <w:tcW w:w="697"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Atbilstības izvērtējums*</w:t>
            </w:r>
          </w:p>
        </w:tc>
        <w:tc>
          <w:tcPr>
            <w:tcW w:w="2604"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Vērtējuma pamatojums</w:t>
            </w:r>
          </w:p>
        </w:tc>
        <w:tc>
          <w:tcPr>
            <w:tcW w:w="1699"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Atsauce uz iestādes iekšējiem dokumentiem, norādot atbilstošo punktu</w:t>
            </w:r>
          </w:p>
        </w:tc>
      </w:tr>
      <w:tr w:rsidR="0013380C" w:rsidRPr="00891455" w:rsidTr="006F63CE">
        <w:tc>
          <w:tcPr>
            <w:tcW w:w="697" w:type="pct"/>
            <w:vAlign w:val="center"/>
          </w:tcPr>
          <w:p w:rsidR="0013380C" w:rsidRPr="00891455" w:rsidRDefault="0013380C" w:rsidP="006F63CE">
            <w:pPr>
              <w:jc w:val="center"/>
              <w:rPr>
                <w:rFonts w:ascii="Cambria" w:hAnsi="Cambria"/>
                <w:sz w:val="19"/>
                <w:lang w:val="lv-LV"/>
              </w:rPr>
            </w:pPr>
          </w:p>
        </w:tc>
        <w:tc>
          <w:tcPr>
            <w:tcW w:w="2604" w:type="pct"/>
            <w:vAlign w:val="center"/>
          </w:tcPr>
          <w:p w:rsidR="0013380C" w:rsidRPr="00891455" w:rsidRDefault="0013380C" w:rsidP="006F63CE">
            <w:pPr>
              <w:jc w:val="center"/>
              <w:rPr>
                <w:rFonts w:ascii="Cambria" w:hAnsi="Cambria"/>
                <w:sz w:val="19"/>
                <w:lang w:val="lv-LV"/>
              </w:rPr>
            </w:pPr>
          </w:p>
        </w:tc>
        <w:tc>
          <w:tcPr>
            <w:tcW w:w="1699" w:type="pct"/>
            <w:vAlign w:val="center"/>
          </w:tcPr>
          <w:p w:rsidR="0013380C" w:rsidRPr="00891455"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b/>
          <w:bCs/>
          <w:sz w:val="19"/>
          <w:szCs w:val="24"/>
        </w:rPr>
      </w:pPr>
      <w:r w:rsidRPr="00F93B29">
        <w:rPr>
          <w:rFonts w:ascii="Cambria" w:hAnsi="Cambria"/>
          <w:b/>
          <w:bCs/>
          <w:sz w:val="19"/>
          <w:szCs w:val="24"/>
        </w:rPr>
        <w:t>2.5. Ar uzņēmējdarbības vidi un iekšējās kontroles faktoriem saistīti standarti</w:t>
      </w:r>
    </w:p>
    <w:p w:rsidR="0013380C" w:rsidRPr="00F93B29" w:rsidRDefault="0013380C" w:rsidP="0013380C">
      <w:pPr>
        <w:pStyle w:val="Teksts2"/>
        <w:spacing w:line="260" w:lineRule="exact"/>
        <w:rPr>
          <w:rFonts w:ascii="Cambria" w:hAnsi="Cambria"/>
          <w:b/>
          <w:bCs/>
          <w:i/>
          <w:iCs/>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34. Iestāde tās riska novērtēšanas metodoloģijā ietver uzņēmējdarbības vides un iekšējās kontroles galvenos faktorus, kas var mainīt tās operacionālā riska profilu.</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891455" w:rsidTr="006F63CE">
        <w:tc>
          <w:tcPr>
            <w:tcW w:w="697"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Atbilstības izvērtējums*</w:t>
            </w:r>
          </w:p>
        </w:tc>
        <w:tc>
          <w:tcPr>
            <w:tcW w:w="2604"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Vērtējuma pamatojums</w:t>
            </w:r>
          </w:p>
        </w:tc>
        <w:tc>
          <w:tcPr>
            <w:tcW w:w="1699"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Atsauce uz iestādes iekšējiem dokumentiem, norādot atbilstošo punktu</w:t>
            </w:r>
          </w:p>
        </w:tc>
      </w:tr>
      <w:tr w:rsidR="0013380C" w:rsidRPr="00891455" w:rsidTr="006F63CE">
        <w:tc>
          <w:tcPr>
            <w:tcW w:w="697" w:type="pct"/>
            <w:vAlign w:val="center"/>
          </w:tcPr>
          <w:p w:rsidR="0013380C" w:rsidRPr="00891455" w:rsidRDefault="0013380C" w:rsidP="006F63CE">
            <w:pPr>
              <w:jc w:val="center"/>
              <w:rPr>
                <w:rFonts w:ascii="Cambria" w:hAnsi="Cambria"/>
                <w:sz w:val="19"/>
                <w:lang w:val="lv-LV"/>
              </w:rPr>
            </w:pPr>
          </w:p>
        </w:tc>
        <w:tc>
          <w:tcPr>
            <w:tcW w:w="2604" w:type="pct"/>
            <w:vAlign w:val="center"/>
          </w:tcPr>
          <w:p w:rsidR="0013380C" w:rsidRPr="00891455" w:rsidRDefault="0013380C" w:rsidP="006F63CE">
            <w:pPr>
              <w:jc w:val="center"/>
              <w:rPr>
                <w:rFonts w:ascii="Cambria" w:hAnsi="Cambria"/>
                <w:sz w:val="19"/>
                <w:lang w:val="lv-LV"/>
              </w:rPr>
            </w:pPr>
          </w:p>
        </w:tc>
        <w:tc>
          <w:tcPr>
            <w:tcW w:w="1699" w:type="pct"/>
            <w:vAlign w:val="center"/>
          </w:tcPr>
          <w:p w:rsidR="0013380C" w:rsidRPr="00891455"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Pr>
          <w:rFonts w:ascii="Cambria" w:hAnsi="Cambria"/>
          <w:sz w:val="19"/>
          <w:szCs w:val="24"/>
        </w:rPr>
        <w:br w:type="page"/>
      </w:r>
      <w:r w:rsidRPr="00F93B29">
        <w:rPr>
          <w:rFonts w:ascii="Cambria" w:hAnsi="Cambria"/>
          <w:sz w:val="19"/>
          <w:szCs w:val="24"/>
        </w:rPr>
        <w:lastRenderedPageBreak/>
        <w:t>35. Iestāde katra faktora izvēli pamato ar to, ka tas ir nozīmīgs riska izraisītājs, balstoties uz pieredzi un ņemot vērā ekspertu spriedumus attiecīgajās uzņēmējdarbības jomās.</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891455" w:rsidTr="006F63CE">
        <w:tc>
          <w:tcPr>
            <w:tcW w:w="697"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Atbilstības izvērtējums*</w:t>
            </w:r>
          </w:p>
        </w:tc>
        <w:tc>
          <w:tcPr>
            <w:tcW w:w="2604"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Vērtējuma pamatojums</w:t>
            </w:r>
          </w:p>
        </w:tc>
        <w:tc>
          <w:tcPr>
            <w:tcW w:w="1699"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Atsauce uz iestādes iekšējiem dokumentiem, norādot atbilstošo punktu</w:t>
            </w:r>
          </w:p>
        </w:tc>
      </w:tr>
      <w:tr w:rsidR="0013380C" w:rsidRPr="00891455" w:rsidTr="006F63CE">
        <w:tc>
          <w:tcPr>
            <w:tcW w:w="697" w:type="pct"/>
            <w:vAlign w:val="center"/>
          </w:tcPr>
          <w:p w:rsidR="0013380C" w:rsidRPr="00891455" w:rsidRDefault="0013380C" w:rsidP="006F63CE">
            <w:pPr>
              <w:jc w:val="center"/>
              <w:rPr>
                <w:rFonts w:ascii="Cambria" w:hAnsi="Cambria"/>
                <w:sz w:val="19"/>
                <w:lang w:val="lv-LV"/>
              </w:rPr>
            </w:pPr>
          </w:p>
        </w:tc>
        <w:tc>
          <w:tcPr>
            <w:tcW w:w="2604" w:type="pct"/>
            <w:vAlign w:val="center"/>
          </w:tcPr>
          <w:p w:rsidR="0013380C" w:rsidRPr="00891455" w:rsidRDefault="0013380C" w:rsidP="006F63CE">
            <w:pPr>
              <w:jc w:val="center"/>
              <w:rPr>
                <w:rFonts w:ascii="Cambria" w:hAnsi="Cambria"/>
                <w:sz w:val="19"/>
                <w:lang w:val="lv-LV"/>
              </w:rPr>
            </w:pPr>
          </w:p>
        </w:tc>
        <w:tc>
          <w:tcPr>
            <w:tcW w:w="1699" w:type="pct"/>
            <w:vAlign w:val="center"/>
          </w:tcPr>
          <w:p w:rsidR="0013380C" w:rsidRPr="00891455"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36. Iestāde spēj pamatot riska aplēšu jutīguma attiecībā pret faktoru izmaiņām un dažādu faktoru relatīvo nozīmi.</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891455" w:rsidTr="006F63CE">
        <w:tc>
          <w:tcPr>
            <w:tcW w:w="697"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Atbilstības izvērtējums*</w:t>
            </w:r>
          </w:p>
        </w:tc>
        <w:tc>
          <w:tcPr>
            <w:tcW w:w="2604"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Vērtējuma pamatojums</w:t>
            </w:r>
          </w:p>
        </w:tc>
        <w:tc>
          <w:tcPr>
            <w:tcW w:w="1699"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Atsauce uz iestādes iekšējiem dokumentiem, norādot atbilstošo punktu</w:t>
            </w:r>
          </w:p>
        </w:tc>
      </w:tr>
      <w:tr w:rsidR="0013380C" w:rsidRPr="00891455" w:rsidTr="006F63CE">
        <w:tc>
          <w:tcPr>
            <w:tcW w:w="697" w:type="pct"/>
            <w:vAlign w:val="center"/>
          </w:tcPr>
          <w:p w:rsidR="0013380C" w:rsidRPr="00891455" w:rsidRDefault="0013380C" w:rsidP="006F63CE">
            <w:pPr>
              <w:jc w:val="center"/>
              <w:rPr>
                <w:rFonts w:ascii="Cambria" w:hAnsi="Cambria"/>
                <w:sz w:val="19"/>
                <w:lang w:val="lv-LV"/>
              </w:rPr>
            </w:pPr>
          </w:p>
        </w:tc>
        <w:tc>
          <w:tcPr>
            <w:tcW w:w="2604" w:type="pct"/>
            <w:vAlign w:val="center"/>
          </w:tcPr>
          <w:p w:rsidR="0013380C" w:rsidRPr="00891455" w:rsidRDefault="0013380C" w:rsidP="006F63CE">
            <w:pPr>
              <w:jc w:val="center"/>
              <w:rPr>
                <w:rFonts w:ascii="Cambria" w:hAnsi="Cambria"/>
                <w:sz w:val="19"/>
                <w:lang w:val="lv-LV"/>
              </w:rPr>
            </w:pPr>
          </w:p>
        </w:tc>
        <w:tc>
          <w:tcPr>
            <w:tcW w:w="1699" w:type="pct"/>
            <w:vAlign w:val="center"/>
          </w:tcPr>
          <w:p w:rsidR="0013380C" w:rsidRPr="00891455"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37. P</w:t>
      </w:r>
      <w:r w:rsidRPr="00F93B29">
        <w:rPr>
          <w:rFonts w:ascii="Cambria" w:eastAsia="Arial Unicode MS" w:hAnsi="Cambria"/>
          <w:sz w:val="19"/>
          <w:szCs w:val="24"/>
          <w:shd w:val="clear" w:color="auto" w:fill="FFFFFF"/>
        </w:rPr>
        <w:t>apildus tam, ka tiek ņemtas vērā riska izmaiņas, ko rada riska kontroles uzlabojumi, iestāde riska mērīšanas sistēmā ietver potenciālo riska pieaugumu, kuru rada lielāka darījumu sarežģītība vai lielāks darījumu apmērs</w:t>
      </w:r>
      <w:r w:rsidRPr="00F93B29">
        <w:rPr>
          <w:rFonts w:ascii="Cambria" w:hAnsi="Cambria"/>
          <w:sz w:val="19"/>
          <w:szCs w:val="24"/>
        </w:rPr>
        <w:t>.</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891455" w:rsidTr="006F63CE">
        <w:tc>
          <w:tcPr>
            <w:tcW w:w="697"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Atbilstības izvērtējums*</w:t>
            </w:r>
          </w:p>
        </w:tc>
        <w:tc>
          <w:tcPr>
            <w:tcW w:w="2604"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Vērtējuma pamatojums</w:t>
            </w:r>
          </w:p>
        </w:tc>
        <w:tc>
          <w:tcPr>
            <w:tcW w:w="1699"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Atsauce uz iestādes iekšējiem dokumentiem, norādot atbilstošo punktu</w:t>
            </w:r>
          </w:p>
        </w:tc>
      </w:tr>
      <w:tr w:rsidR="0013380C" w:rsidRPr="00891455" w:rsidTr="006F63CE">
        <w:tc>
          <w:tcPr>
            <w:tcW w:w="697" w:type="pct"/>
            <w:vAlign w:val="center"/>
          </w:tcPr>
          <w:p w:rsidR="0013380C" w:rsidRPr="00891455" w:rsidRDefault="0013380C" w:rsidP="006F63CE">
            <w:pPr>
              <w:jc w:val="center"/>
              <w:rPr>
                <w:rFonts w:ascii="Cambria" w:hAnsi="Cambria"/>
                <w:sz w:val="19"/>
                <w:lang w:val="lv-LV"/>
              </w:rPr>
            </w:pPr>
          </w:p>
        </w:tc>
        <w:tc>
          <w:tcPr>
            <w:tcW w:w="2604" w:type="pct"/>
            <w:vAlign w:val="center"/>
          </w:tcPr>
          <w:p w:rsidR="0013380C" w:rsidRPr="00891455" w:rsidRDefault="0013380C" w:rsidP="006F63CE">
            <w:pPr>
              <w:jc w:val="center"/>
              <w:rPr>
                <w:rFonts w:ascii="Cambria" w:hAnsi="Cambria"/>
                <w:sz w:val="19"/>
                <w:lang w:val="lv-LV"/>
              </w:rPr>
            </w:pPr>
          </w:p>
        </w:tc>
        <w:tc>
          <w:tcPr>
            <w:tcW w:w="1699" w:type="pct"/>
            <w:vAlign w:val="center"/>
          </w:tcPr>
          <w:p w:rsidR="0013380C" w:rsidRPr="00891455"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sidRPr="00F93B29">
        <w:rPr>
          <w:rFonts w:ascii="Cambria" w:hAnsi="Cambria"/>
          <w:sz w:val="19"/>
          <w:szCs w:val="24"/>
        </w:rPr>
        <w:t xml:space="preserve">38. </w:t>
      </w:r>
      <w:r w:rsidRPr="00F93B29">
        <w:rPr>
          <w:rFonts w:ascii="Cambria" w:eastAsia="Arial Unicode MS" w:hAnsi="Cambria"/>
          <w:sz w:val="19"/>
          <w:szCs w:val="24"/>
          <w:shd w:val="clear" w:color="auto" w:fill="FFFFFF"/>
        </w:rPr>
        <w:t>Iestāde savu riska mērīšanas sistēmu dokumentē un veic tās neatkarīgu pārbaudi iestādes ietvaros.</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891455" w:rsidTr="006F63CE">
        <w:tc>
          <w:tcPr>
            <w:tcW w:w="697"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Atbilstības izvērtējums*</w:t>
            </w:r>
          </w:p>
        </w:tc>
        <w:tc>
          <w:tcPr>
            <w:tcW w:w="2604"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Vērtējuma pamatojums</w:t>
            </w:r>
          </w:p>
        </w:tc>
        <w:tc>
          <w:tcPr>
            <w:tcW w:w="1699"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Atsauce uz iestādes iekšējiem dokumentiem, norādot atbilstošo punktu</w:t>
            </w:r>
          </w:p>
        </w:tc>
      </w:tr>
      <w:tr w:rsidR="0013380C" w:rsidRPr="00891455" w:rsidTr="006F63CE">
        <w:tc>
          <w:tcPr>
            <w:tcW w:w="697" w:type="pct"/>
            <w:vAlign w:val="center"/>
          </w:tcPr>
          <w:p w:rsidR="0013380C" w:rsidRPr="00891455" w:rsidRDefault="0013380C" w:rsidP="006F63CE">
            <w:pPr>
              <w:jc w:val="center"/>
              <w:rPr>
                <w:rFonts w:ascii="Cambria" w:hAnsi="Cambria"/>
                <w:sz w:val="19"/>
                <w:lang w:val="lv-LV"/>
              </w:rPr>
            </w:pPr>
          </w:p>
        </w:tc>
        <w:tc>
          <w:tcPr>
            <w:tcW w:w="2604" w:type="pct"/>
            <w:vAlign w:val="center"/>
          </w:tcPr>
          <w:p w:rsidR="0013380C" w:rsidRPr="00891455" w:rsidRDefault="0013380C" w:rsidP="006F63CE">
            <w:pPr>
              <w:jc w:val="center"/>
              <w:rPr>
                <w:rFonts w:ascii="Cambria" w:hAnsi="Cambria"/>
                <w:sz w:val="19"/>
                <w:lang w:val="lv-LV"/>
              </w:rPr>
            </w:pPr>
          </w:p>
        </w:tc>
        <w:tc>
          <w:tcPr>
            <w:tcW w:w="1699" w:type="pct"/>
            <w:vAlign w:val="center"/>
          </w:tcPr>
          <w:p w:rsidR="0013380C" w:rsidRPr="00891455"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13380C" w:rsidRPr="00F93B29" w:rsidRDefault="0013380C" w:rsidP="0013380C">
      <w:pPr>
        <w:pStyle w:val="Teksts2"/>
        <w:spacing w:line="260" w:lineRule="exact"/>
        <w:rPr>
          <w:rFonts w:ascii="Cambria" w:hAnsi="Cambria"/>
          <w:sz w:val="19"/>
          <w:szCs w:val="24"/>
        </w:rPr>
      </w:pPr>
    </w:p>
    <w:p w:rsidR="0013380C" w:rsidRPr="00F93B29" w:rsidRDefault="0013380C" w:rsidP="0013380C">
      <w:pPr>
        <w:pStyle w:val="Teksts2"/>
        <w:spacing w:line="260" w:lineRule="exact"/>
        <w:rPr>
          <w:rFonts w:ascii="Cambria" w:hAnsi="Cambria"/>
          <w:sz w:val="19"/>
          <w:szCs w:val="24"/>
        </w:rPr>
      </w:pPr>
      <w:r>
        <w:rPr>
          <w:rFonts w:ascii="Cambria" w:hAnsi="Cambria"/>
          <w:sz w:val="19"/>
          <w:szCs w:val="24"/>
        </w:rPr>
        <w:br w:type="page"/>
      </w:r>
      <w:r w:rsidRPr="00F93B29">
        <w:rPr>
          <w:rFonts w:ascii="Cambria" w:hAnsi="Cambria"/>
          <w:sz w:val="19"/>
          <w:szCs w:val="24"/>
        </w:rPr>
        <w:lastRenderedPageBreak/>
        <w:t xml:space="preserve">39. Iestāde regulāri </w:t>
      </w:r>
      <w:r w:rsidRPr="00F93B29">
        <w:rPr>
          <w:rFonts w:ascii="Cambria" w:eastAsia="Arial Unicode MS" w:hAnsi="Cambria"/>
          <w:sz w:val="19"/>
          <w:szCs w:val="24"/>
          <w:shd w:val="clear" w:color="auto" w:fill="FFFFFF"/>
        </w:rPr>
        <w:t>validē un atkārtoti novērtē procesu un tā rezultātus, salīdzinot ar iekšējiem datiem par faktisko zaudējumu pieredzi un attiecīgiem ārējiem datiem</w:t>
      </w:r>
      <w:r w:rsidRPr="00F93B29">
        <w:rPr>
          <w:rFonts w:ascii="Cambria" w:hAnsi="Cambria"/>
          <w:sz w:val="19"/>
          <w:szCs w:val="24"/>
        </w:rPr>
        <w:t>.</w:t>
      </w:r>
    </w:p>
    <w:p w:rsidR="0013380C" w:rsidRPr="00F93B29" w:rsidRDefault="0013380C" w:rsidP="0013380C">
      <w:pPr>
        <w:spacing w:line="260" w:lineRule="exact"/>
        <w:rPr>
          <w:rFonts w:ascii="Cambria" w:hAnsi="Cambria"/>
          <w:b/>
          <w:bCs/>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2"/>
        <w:gridCol w:w="4529"/>
        <w:gridCol w:w="2955"/>
      </w:tblGrid>
      <w:tr w:rsidR="0013380C" w:rsidRPr="00891455" w:rsidTr="006F63CE">
        <w:tc>
          <w:tcPr>
            <w:tcW w:w="697"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Atbilstības izvērtējums*</w:t>
            </w:r>
          </w:p>
        </w:tc>
        <w:tc>
          <w:tcPr>
            <w:tcW w:w="2604"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Vērtējuma pamatojums</w:t>
            </w:r>
          </w:p>
        </w:tc>
        <w:tc>
          <w:tcPr>
            <w:tcW w:w="1699" w:type="pct"/>
            <w:vAlign w:val="center"/>
          </w:tcPr>
          <w:p w:rsidR="0013380C" w:rsidRPr="00891455" w:rsidRDefault="0013380C" w:rsidP="006F63CE">
            <w:pPr>
              <w:jc w:val="center"/>
              <w:rPr>
                <w:rFonts w:ascii="Cambria" w:hAnsi="Cambria"/>
                <w:sz w:val="19"/>
                <w:lang w:val="lv-LV"/>
              </w:rPr>
            </w:pPr>
            <w:r w:rsidRPr="00891455">
              <w:rPr>
                <w:rFonts w:ascii="Cambria" w:hAnsi="Cambria"/>
                <w:sz w:val="19"/>
                <w:lang w:val="lv-LV"/>
              </w:rPr>
              <w:t>Atsauce uz iestādes iekšējiem dokumentiem, norādot atbilstošo punktu</w:t>
            </w:r>
          </w:p>
        </w:tc>
      </w:tr>
      <w:tr w:rsidR="0013380C" w:rsidRPr="00891455" w:rsidTr="006F63CE">
        <w:tc>
          <w:tcPr>
            <w:tcW w:w="697" w:type="pct"/>
            <w:vAlign w:val="center"/>
          </w:tcPr>
          <w:p w:rsidR="0013380C" w:rsidRPr="00891455" w:rsidRDefault="0013380C" w:rsidP="006F63CE">
            <w:pPr>
              <w:jc w:val="center"/>
              <w:rPr>
                <w:rFonts w:ascii="Cambria" w:hAnsi="Cambria"/>
                <w:sz w:val="19"/>
                <w:lang w:val="lv-LV"/>
              </w:rPr>
            </w:pPr>
          </w:p>
        </w:tc>
        <w:tc>
          <w:tcPr>
            <w:tcW w:w="2604" w:type="pct"/>
            <w:vAlign w:val="center"/>
          </w:tcPr>
          <w:p w:rsidR="0013380C" w:rsidRPr="00891455" w:rsidRDefault="0013380C" w:rsidP="006F63CE">
            <w:pPr>
              <w:jc w:val="center"/>
              <w:rPr>
                <w:rFonts w:ascii="Cambria" w:hAnsi="Cambria"/>
                <w:sz w:val="19"/>
                <w:lang w:val="lv-LV"/>
              </w:rPr>
            </w:pPr>
          </w:p>
        </w:tc>
        <w:tc>
          <w:tcPr>
            <w:tcW w:w="1699" w:type="pct"/>
            <w:vAlign w:val="center"/>
          </w:tcPr>
          <w:p w:rsidR="0013380C" w:rsidRPr="00891455" w:rsidRDefault="0013380C" w:rsidP="006F63CE">
            <w:pPr>
              <w:jc w:val="center"/>
              <w:rPr>
                <w:rFonts w:ascii="Cambria" w:hAnsi="Cambria"/>
                <w:sz w:val="19"/>
                <w:lang w:val="lv-LV"/>
              </w:rPr>
            </w:pPr>
          </w:p>
        </w:tc>
      </w:tr>
    </w:tbl>
    <w:p w:rsidR="0013380C" w:rsidRPr="00260691" w:rsidRDefault="0013380C" w:rsidP="0013380C">
      <w:pPr>
        <w:pStyle w:val="Teksts2"/>
        <w:spacing w:line="260" w:lineRule="exact"/>
        <w:rPr>
          <w:rFonts w:ascii="Cambria" w:hAnsi="Cambria"/>
          <w:sz w:val="17"/>
          <w:szCs w:val="17"/>
        </w:rPr>
      </w:pPr>
      <w:r w:rsidRPr="00260691">
        <w:rPr>
          <w:rFonts w:ascii="Cambria" w:hAnsi="Cambria"/>
          <w:sz w:val="17"/>
          <w:szCs w:val="17"/>
        </w:rPr>
        <w:t>* Atbilst, neatbilst, daļēji atbilst, nav piemērojams. Iestāde izvērtē un pamato (aprakstot) atbilstību kritērijam, pamatojoties uz iekšējiem dokumentiem – politikām, procedūrām, pārskatiem u.c.</w:t>
      </w:r>
    </w:p>
    <w:p w:rsidR="00B77160" w:rsidRPr="0013380C" w:rsidRDefault="00B77160">
      <w:pPr>
        <w:rPr>
          <w:lang w:val="lv-LV"/>
        </w:rPr>
      </w:pPr>
      <w:bookmarkStart w:id="0" w:name="_GoBack"/>
      <w:bookmarkEnd w:id="0"/>
    </w:p>
    <w:sectPr w:rsidR="00B77160" w:rsidRPr="001338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0C"/>
    <w:rsid w:val="0013380C"/>
    <w:rsid w:val="00B7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0C"/>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unhideWhenUsed/>
    <w:qFormat/>
    <w:rsid w:val="0013380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380C"/>
    <w:rPr>
      <w:rFonts w:ascii="Calibri" w:eastAsia="Times New Roman" w:hAnsi="Calibri" w:cs="Times New Roman"/>
      <w:b/>
      <w:bCs/>
      <w:sz w:val="28"/>
      <w:szCs w:val="28"/>
      <w:lang w:val="en-GB"/>
    </w:rPr>
  </w:style>
  <w:style w:type="paragraph" w:styleId="BodyText2">
    <w:name w:val="Body Text 2"/>
    <w:basedOn w:val="Normal"/>
    <w:link w:val="BodyText2Char"/>
    <w:semiHidden/>
    <w:rsid w:val="0013380C"/>
    <w:pPr>
      <w:jc w:val="both"/>
    </w:pPr>
    <w:rPr>
      <w:szCs w:val="20"/>
      <w:lang w:val="lv-LV"/>
    </w:rPr>
  </w:style>
  <w:style w:type="character" w:customStyle="1" w:styleId="BodyText2Char">
    <w:name w:val="Body Text 2 Char"/>
    <w:basedOn w:val="DefaultParagraphFont"/>
    <w:link w:val="BodyText2"/>
    <w:semiHidden/>
    <w:rsid w:val="0013380C"/>
    <w:rPr>
      <w:rFonts w:ascii="Times New Roman" w:eastAsia="Times New Roman" w:hAnsi="Times New Roman" w:cs="Times New Roman"/>
      <w:sz w:val="24"/>
      <w:szCs w:val="20"/>
      <w:lang w:val="lv-LV"/>
    </w:rPr>
  </w:style>
  <w:style w:type="character" w:customStyle="1" w:styleId="apple-converted-space">
    <w:name w:val="apple-converted-space"/>
    <w:basedOn w:val="DefaultParagraphFont"/>
    <w:rsid w:val="0013380C"/>
  </w:style>
  <w:style w:type="paragraph" w:customStyle="1" w:styleId="Teksts2">
    <w:name w:val="Teksts2"/>
    <w:basedOn w:val="Normal"/>
    <w:rsid w:val="0013380C"/>
    <w:pPr>
      <w:jc w:val="both"/>
    </w:pPr>
    <w:rPr>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0C"/>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unhideWhenUsed/>
    <w:qFormat/>
    <w:rsid w:val="0013380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380C"/>
    <w:rPr>
      <w:rFonts w:ascii="Calibri" w:eastAsia="Times New Roman" w:hAnsi="Calibri" w:cs="Times New Roman"/>
      <w:b/>
      <w:bCs/>
      <w:sz w:val="28"/>
      <w:szCs w:val="28"/>
      <w:lang w:val="en-GB"/>
    </w:rPr>
  </w:style>
  <w:style w:type="paragraph" w:styleId="BodyText2">
    <w:name w:val="Body Text 2"/>
    <w:basedOn w:val="Normal"/>
    <w:link w:val="BodyText2Char"/>
    <w:semiHidden/>
    <w:rsid w:val="0013380C"/>
    <w:pPr>
      <w:jc w:val="both"/>
    </w:pPr>
    <w:rPr>
      <w:szCs w:val="20"/>
      <w:lang w:val="lv-LV"/>
    </w:rPr>
  </w:style>
  <w:style w:type="character" w:customStyle="1" w:styleId="BodyText2Char">
    <w:name w:val="Body Text 2 Char"/>
    <w:basedOn w:val="DefaultParagraphFont"/>
    <w:link w:val="BodyText2"/>
    <w:semiHidden/>
    <w:rsid w:val="0013380C"/>
    <w:rPr>
      <w:rFonts w:ascii="Times New Roman" w:eastAsia="Times New Roman" w:hAnsi="Times New Roman" w:cs="Times New Roman"/>
      <w:sz w:val="24"/>
      <w:szCs w:val="20"/>
      <w:lang w:val="lv-LV"/>
    </w:rPr>
  </w:style>
  <w:style w:type="character" w:customStyle="1" w:styleId="apple-converted-space">
    <w:name w:val="apple-converted-space"/>
    <w:basedOn w:val="DefaultParagraphFont"/>
    <w:rsid w:val="0013380C"/>
  </w:style>
  <w:style w:type="paragraph" w:customStyle="1" w:styleId="Teksts2">
    <w:name w:val="Teksts2"/>
    <w:basedOn w:val="Normal"/>
    <w:rsid w:val="0013380C"/>
    <w:pPr>
      <w:jc w:val="both"/>
    </w:pPr>
    <w:rPr>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3021</Words>
  <Characters>17226</Characters>
  <Application>Microsoft Office Word</Application>
  <DocSecurity>0</DocSecurity>
  <Lines>143</Lines>
  <Paragraphs>40</Paragraphs>
  <ScaleCrop>false</ScaleCrop>
  <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2016-12-20T10:56:00Z</dcterms:created>
  <dcterms:modified xsi:type="dcterms:W3CDTF">2016-12-20T10:56:00Z</dcterms:modified>
</cp:coreProperties>
</file>