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5" w:rsidRPr="00AC6235" w:rsidRDefault="00AC6235" w:rsidP="00AC62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C6235">
        <w:rPr>
          <w:rFonts w:ascii="Times New Roman" w:eastAsia="Times New Roman" w:hAnsi="Times New Roman"/>
          <w:sz w:val="24"/>
          <w:szCs w:val="24"/>
          <w:lang w:eastAsia="lv-LV"/>
        </w:rPr>
        <w:t>5. pielikums</w:t>
      </w:r>
    </w:p>
    <w:p w:rsidR="00AC6235" w:rsidRPr="00AC6235" w:rsidRDefault="00AC6235" w:rsidP="00AC62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C6235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:rsidR="00AC6235" w:rsidRPr="00AC6235" w:rsidRDefault="00AC6235" w:rsidP="00AC62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C6235">
        <w:rPr>
          <w:rFonts w:ascii="Times New Roman" w:eastAsia="Times New Roman" w:hAnsi="Times New Roman"/>
          <w:sz w:val="24"/>
          <w:szCs w:val="24"/>
          <w:lang w:eastAsia="lv-LV"/>
        </w:rPr>
        <w:t>2009. gada 7. aprīļa</w:t>
      </w:r>
    </w:p>
    <w:p w:rsidR="00AC6235" w:rsidRDefault="00AC6235" w:rsidP="00AC62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C6235">
        <w:rPr>
          <w:rFonts w:ascii="Times New Roman" w:eastAsia="Times New Roman" w:hAnsi="Times New Roman"/>
          <w:sz w:val="24"/>
          <w:szCs w:val="24"/>
          <w:lang w:eastAsia="lv-LV"/>
        </w:rPr>
        <w:t>noteikumiem Nr. 300</w:t>
      </w:r>
    </w:p>
    <w:p w:rsidR="00AC6235" w:rsidRPr="00AC6235" w:rsidRDefault="00AC6235" w:rsidP="00AC623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AC6235">
        <w:rPr>
          <w:rFonts w:ascii="Times New Roman" w:hAnsi="Times New Roman"/>
          <w:i/>
          <w:sz w:val="20"/>
          <w:szCs w:val="20"/>
        </w:rPr>
        <w:t>(Pielikums MK 22.11.2016. noteikumu Nr. 735 redakcijā)</w:t>
      </w:r>
    </w:p>
    <w:p w:rsidR="00AC6235" w:rsidRPr="00903E3C" w:rsidRDefault="00AC6235" w:rsidP="00AC6235">
      <w:pPr>
        <w:pStyle w:val="Header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235" w:rsidRPr="00903E3C" w:rsidRDefault="00AC6235" w:rsidP="00AC6235">
      <w:pPr>
        <w:pStyle w:val="Header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E3C">
        <w:rPr>
          <w:rFonts w:ascii="Times New Roman" w:hAnsi="Times New Roman"/>
          <w:b/>
          <w:sz w:val="28"/>
          <w:szCs w:val="28"/>
        </w:rPr>
        <w:t>Pavadvēstules paraugs</w:t>
      </w:r>
    </w:p>
    <w:p w:rsidR="00AC6235" w:rsidRPr="00903E3C" w:rsidRDefault="00AC6235" w:rsidP="00AC6235">
      <w:pPr>
        <w:pStyle w:val="Header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235" w:rsidRPr="00903E3C" w:rsidRDefault="00AC6235" w:rsidP="00AC6235">
      <w:pPr>
        <w:pStyle w:val="Header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E3C">
        <w:rPr>
          <w:rFonts w:ascii="Times New Roman" w:hAnsi="Times New Roman"/>
          <w:sz w:val="28"/>
          <w:szCs w:val="28"/>
        </w:rPr>
        <w:t>Rīgā</w:t>
      </w:r>
    </w:p>
    <w:p w:rsidR="00AC6235" w:rsidRPr="00903E3C" w:rsidRDefault="00AC6235" w:rsidP="00AC6235">
      <w:pPr>
        <w:pStyle w:val="Header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235" w:rsidRPr="00903E3C" w:rsidRDefault="00AC6235" w:rsidP="00AC6235">
      <w:pPr>
        <w:pStyle w:val="Header"/>
        <w:tabs>
          <w:tab w:val="left" w:pos="2552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</w:t>
      </w:r>
      <w:r w:rsidRPr="00903E3C">
        <w:rPr>
          <w:rFonts w:ascii="Times New Roman" w:hAnsi="Times New Roman"/>
          <w:sz w:val="28"/>
          <w:szCs w:val="28"/>
        </w:rPr>
        <w:tab/>
        <w:t>Nr. </w:t>
      </w:r>
      <w:r>
        <w:rPr>
          <w:rFonts w:ascii="Times New Roman" w:hAnsi="Times New Roman"/>
          <w:sz w:val="28"/>
          <w:szCs w:val="28"/>
        </w:rPr>
        <w:t>...</w:t>
      </w:r>
    </w:p>
    <w:p w:rsidR="00AC6235" w:rsidRPr="00064155" w:rsidRDefault="00AC6235" w:rsidP="00AC6235">
      <w:pPr>
        <w:pStyle w:val="Header"/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155">
        <w:rPr>
          <w:rFonts w:ascii="Times New Roman" w:hAnsi="Times New Roman"/>
          <w:sz w:val="24"/>
          <w:szCs w:val="24"/>
        </w:rPr>
        <w:t>(datums)</w:t>
      </w:r>
    </w:p>
    <w:p w:rsidR="00AC6235" w:rsidRPr="00903E3C" w:rsidRDefault="00AC6235" w:rsidP="00AC6235">
      <w:pPr>
        <w:spacing w:after="0" w:line="240" w:lineRule="auto"/>
        <w:jc w:val="right"/>
        <w:rPr>
          <w:rStyle w:val="body1"/>
          <w:rFonts w:ascii="Times New Roman" w:hAnsi="Times New Roman"/>
          <w:sz w:val="28"/>
          <w:szCs w:val="28"/>
        </w:rPr>
      </w:pPr>
      <w:r w:rsidRPr="00903E3C">
        <w:rPr>
          <w:rStyle w:val="body1"/>
          <w:rFonts w:ascii="Times New Roman" w:hAnsi="Times New Roman"/>
          <w:sz w:val="28"/>
          <w:szCs w:val="28"/>
        </w:rPr>
        <w:t>Valsts kancelejai</w:t>
      </w:r>
    </w:p>
    <w:p w:rsidR="00AC6235" w:rsidRPr="00903E3C" w:rsidRDefault="00AC6235" w:rsidP="00AC6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6235" w:rsidRPr="00903E3C" w:rsidRDefault="00AC6235" w:rsidP="00AC6235">
      <w:pPr>
        <w:spacing w:after="0" w:line="240" w:lineRule="auto"/>
        <w:ind w:right="3969"/>
        <w:rPr>
          <w:rFonts w:ascii="Times New Roman" w:hAnsi="Times New Roman"/>
          <w:sz w:val="28"/>
          <w:szCs w:val="28"/>
        </w:rPr>
      </w:pPr>
      <w:r w:rsidRPr="00903E3C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>...</w:t>
      </w:r>
      <w:r w:rsidRPr="00903E3C">
        <w:rPr>
          <w:rFonts w:ascii="Times New Roman" w:hAnsi="Times New Roman"/>
          <w:sz w:val="28"/>
          <w:szCs w:val="28"/>
        </w:rPr>
        <w:t xml:space="preserve"> projektu</w:t>
      </w:r>
    </w:p>
    <w:p w:rsidR="00AC6235" w:rsidRPr="00903E3C" w:rsidRDefault="00AC6235" w:rsidP="00AC6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235" w:rsidRPr="00903E3C" w:rsidRDefault="00AC6235" w:rsidP="00AC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E3C">
        <w:rPr>
          <w:rFonts w:ascii="Times New Roman" w:hAnsi="Times New Roman"/>
          <w:sz w:val="28"/>
          <w:szCs w:val="28"/>
        </w:rPr>
        <w:t>Pamatojoties uz Ministru kabine</w:t>
      </w:r>
      <w:bookmarkStart w:id="0" w:name="_GoBack"/>
      <w:bookmarkEnd w:id="0"/>
      <w:r w:rsidRPr="00903E3C">
        <w:rPr>
          <w:rFonts w:ascii="Times New Roman" w:hAnsi="Times New Roman"/>
          <w:sz w:val="28"/>
          <w:szCs w:val="28"/>
        </w:rPr>
        <w:t xml:space="preserve">ta 2009. gada 7. aprīļa noteikumu Nr. 300 "Ministru kabineta kārtības rullis" </w:t>
      </w:r>
      <w:r>
        <w:rPr>
          <w:rFonts w:ascii="Times New Roman" w:hAnsi="Times New Roman"/>
          <w:sz w:val="28"/>
          <w:szCs w:val="28"/>
        </w:rPr>
        <w:t>...</w:t>
      </w:r>
      <w:r w:rsidRPr="00903E3C">
        <w:rPr>
          <w:rFonts w:ascii="Times New Roman" w:hAnsi="Times New Roman"/>
          <w:sz w:val="28"/>
          <w:szCs w:val="28"/>
        </w:rPr>
        <w:t xml:space="preserve">, iesniedzu izskatīšanai </w:t>
      </w:r>
      <w:r>
        <w:rPr>
          <w:rFonts w:ascii="Times New Roman" w:hAnsi="Times New Roman"/>
          <w:sz w:val="28"/>
          <w:szCs w:val="28"/>
        </w:rPr>
        <w:t>... (Valsts sekretāru sanāksmē/Ministru kabineta komitejas sēdē/Ministru kabineta</w:t>
      </w:r>
      <w:r w:rsidRPr="00373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sēdē) ... </w:t>
      </w:r>
      <w:r w:rsidRPr="00903E3C">
        <w:rPr>
          <w:rFonts w:ascii="Times New Roman" w:hAnsi="Times New Roman"/>
          <w:sz w:val="28"/>
          <w:szCs w:val="28"/>
        </w:rPr>
        <w:t>projektu.</w:t>
      </w:r>
    </w:p>
    <w:p w:rsidR="00AC6235" w:rsidRPr="00903E3C" w:rsidRDefault="00AC6235" w:rsidP="00AC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50"/>
        <w:gridCol w:w="5003"/>
      </w:tblGrid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Iesniegšanas pamatojums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61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Norāda</w:t>
            </w:r>
            <w:r w:rsidRPr="0090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atsauci uz deklarāciju un rīcības plānā dotā uzdevuma numuru, tiesību aktu vai plānošanas dokumentu (pieņemšanas datums, numurs un konkrētais punkts), Valsts sekretāru sanāksmes, komitejas sēdes vai Ministru kabineta sēdes </w:t>
            </w:r>
            <w:proofErr w:type="spellStart"/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protokollēmumu</w:t>
            </w:r>
            <w:proofErr w:type="spellEnd"/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(protokola datums, numurs, paragrāfs), Ministru prezidenta rezolūciju (datums, numurs) vai rīkojumu (pieņemšanas datums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numurs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un konkrētais punkts), ja iesniegtais dokuments ir izstrādāts saskaņā ar minētajos dokumentos dotajiem uzdevumiem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sekretāru sanāksmes datums un numurs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Ja projekts izsludināts Valsts sekretāru sanāksmē, norāda</w:t>
            </w:r>
            <w:r w:rsidRPr="0090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Valsts sekretāru sanāksmes datumu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un protokola numuru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kurā projekts izsludināts, un pieteiktā projekta reģistrācijas numuru (VSS numurs)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saskaņojumiem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Norāda</w:t>
            </w:r>
            <w:r w:rsidRPr="0090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informāciju par ministrijām un citām institūcijām, ar kurām projekts saskaņots un par kuru iebildumiem nav panākta vienošanās.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Norāda piemēroto saskaņošanas veidu.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Norāda sēdes datumu un protokola numuru, ja projekts ir izskatīts Nevalstisko organizāciju un Ministru kabineta sadarbības memoranda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īstenošanas padomē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saskaņojumu ar Eiropas Savienības institūcijām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Norāda informāciju par saskaņojumu ar Eiropas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Komisiju – tiesību aktu projektiem, kuri saskaņā ar tehnisko noteikumu saskaņošanas kārtību iesniedzami Ekonomikas ministrijā.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Norāda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informāciju par saskaņojumu ar Eiropas Centrālo banku – tiesību aktu projektiem, kuri saskaņā ar finanšu noteikumu saskaņošanas kārtību iesniedzami Finanšu ministrijā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Politikas joma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A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tbilstoši šo noteikumu 3. pielikumā ietvertajai politikas jomu klasifikāc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ijai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n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orāda politikas jomu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visiem attīstības plānošanas dokumentu projektiem, informatīvajiem ziņojumiem, kā arī tiesību aktu projektiem. Ja projekts skar vairākas jomas, norāda vairākas jomas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Norāda par projekta virzību atbildīgo amat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personu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amatu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vārdu,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uzvārdu.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Ja projektu izstrādāja darba grupa, norāda arī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tā 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tiesību akta datumu, numuru un nosaukumu, ar kuru darba grupas sastāvs apstiprināts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Uzaicināmās personas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Izvērtējot</w:t>
            </w:r>
            <w:r w:rsidRPr="00903E3C">
              <w:rPr>
                <w:rStyle w:val="apple-converted-space"/>
                <w:rFonts w:ascii="Times New Roman" w:hAnsi="Times New Roman"/>
              </w:rPr>
              <w:t xml:space="preserve">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Ministru kabineta iekārtas likuma 28. panta</w:t>
            </w:r>
            <w:r w:rsidRPr="00903E3C">
              <w:rPr>
                <w:rFonts w:ascii="Times New Roman" w:hAnsi="Times New Roman"/>
              </w:rPr>
              <w:t xml:space="preserve"> 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piektajā daļā noteikto piedalīšanās lietderību, norāda uzaicināmās personas amatu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903E3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vārdu, uzvārdu un ministrijas vai citas institūcijas nosaukumu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ierobežotas pieejamības statuss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Norāda, vai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projektam un pievienotajiem 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dokumentam ir vai nav piešķirts ierobežotas pieejamības statuss.</w:t>
            </w:r>
          </w:p>
          <w:p w:rsidR="00AC6235" w:rsidRPr="00903E3C" w:rsidRDefault="00AC6235" w:rsidP="0005729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Katram dokumentam, kuram ir ierobežotas pieejamības statuss, norāda:</w:t>
            </w:r>
          </w:p>
          <w:p w:rsidR="00AC6235" w:rsidRPr="00903E3C" w:rsidRDefault="00AC6235" w:rsidP="0005729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1) pamatojumu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pieejamības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ierobežojuma piešķiršanai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(kā attiecīgā likuma norma attiecas uz konkrēto dokumentu)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;</w:t>
            </w:r>
          </w:p>
          <w:p w:rsidR="00AC6235" w:rsidRDefault="00AC6235" w:rsidP="0005729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2) vai pieejamības ierobežojums paliek spēkā arī pēc jautājuma izskatīšanas Ministru kabinetā, un ierobežojuma termiņu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;</w:t>
            </w:r>
          </w:p>
          <w:p w:rsidR="00AC6235" w:rsidRPr="00903E3C" w:rsidRDefault="00AC6235" w:rsidP="0005729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3) pieejamības ierobežojumu arī pie pavadvēstulē pievienoto dokumentu uzskaitījuma.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Norāda, vai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dokument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a nosaukums Ministru kabineta sēdes darba kārtībā ir vai nav 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atspoguļojams.</w:t>
            </w:r>
          </w:p>
          <w:p w:rsidR="00AC6235" w:rsidRPr="00903E3C" w:rsidRDefault="00AC6235" w:rsidP="0005729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Norāda 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institūcijas, kurām pēc parakstīšanas jānosūta pieņemtais tiesību akts.</w:t>
            </w:r>
          </w:p>
          <w:p w:rsidR="00AC6235" w:rsidRPr="00903E3C" w:rsidRDefault="00AC6235" w:rsidP="00057295">
            <w:pPr>
              <w:shd w:val="clear" w:color="auto" w:fill="FFFFFF"/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Ja nepieciešams, norāda, kurā Ministru kabineta sēdes daļā – atklātajā vai slēgtajā – jautājums izskatāms.</w:t>
            </w:r>
          </w:p>
          <w:p w:rsidR="00AC6235" w:rsidRPr="00903E3C" w:rsidRDefault="00AC6235" w:rsidP="00057295">
            <w:pPr>
              <w:shd w:val="clear" w:color="auto" w:fill="FFFFFF"/>
              <w:spacing w:before="120" w:after="12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Ja nepieciešams, norāda, ka iesniegtā informācija, kurai nav noteikto lietojuma ierobežojumu apzīmējumu, nav ievietojama publiskajā e-portfeļa sadaļā līdz lēmuma pieņemšanai,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kā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 arī norād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, ka pēc lēmuma pieņemšanas iesniedzēja ministrija to publiskos savā tīmekļvietnē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Norāda informāciju par personas piekrišanu vai ministrijas vai citas institūcijas pilnvarojumu dalībai darba grupā vai komisijā.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Norāda informāciju par saistītajiem tiesību aktu projektiem, attīstības plānošanas dokumentu projektiem, kā arī informatīvajiem ziņojumiem, kuri Ministru kabineta sēdē izskatāmi vienlaikus.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Ja ir sagatavota apvienotā anotācija, norāda, kura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tiesību akta projekta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ir pievienota apvienotā anotācija.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Ja ir sagatavota apvienotā izziņa, norāda, kura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tiesību akta projekta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ir pievienota apvienotā izziņa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Saistība ar ārkārtējās situācijas vai izņēmuma stāvokļa noteikšanu valstī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Norāda atsauci uz attiecīgo likuma "Par ārkārtējo situāciju un izņēmuma stāvokli" normu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Šo rindu aizpilda, tikai iesniedzot jautājumu saistībā ar ārkārtējās situācijas vai izņēmuma stāvokļa noteikšanu valstī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lietas pamatojums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Sniedz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pamatojumu, kāpēc jautājums izskatāms Ministru kabineta sēdē kā Ministru kabineta lieta.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Šo rindu aizpilda, tikai iesniedzot Ministru kabineta lietu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Steidzamības kārtības pamatojums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Sniedz</w:t>
            </w: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pamatojumu, kāpēc projekts izskatāms Ministru kabineta sēdē steidzamības kārtībā.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Norāda</w:t>
            </w:r>
            <w:r w:rsidRPr="00903E3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sekas, kas iestāsies, ja jautājums netiks izskatīts un risināts nekavējoties.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lastRenderedPageBreak/>
              <w:t>Šo rindu aizpilda, tikai iesniedzot projektu steidzamības kārtībā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Jautājuma savlaicīgas neiesniegšanas iemesli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>Norāda laiku, kad kļuva zināms par uzdevumu un tā izpildes termiņu, pasākuma norisi.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hAnsi="Times New Roman"/>
                <w:i/>
                <w:sz w:val="24"/>
                <w:szCs w:val="24"/>
              </w:rPr>
              <w:t xml:space="preserve">Norāda 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apstākļus, kuru dēļ jautājumu nebija iespējams sagatavot un iesniegt lai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kus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Šo rindu aizpilda, tikai iesniedzot projektu steidzamības kārtībā</w:t>
            </w:r>
          </w:p>
        </w:tc>
      </w:tr>
      <w:tr w:rsidR="00AC6235" w:rsidRPr="00903E3C" w:rsidTr="00057295">
        <w:tc>
          <w:tcPr>
            <w:tcW w:w="800" w:type="dxa"/>
          </w:tcPr>
          <w:p w:rsidR="00AC6235" w:rsidRPr="00903E3C" w:rsidRDefault="00AC6235" w:rsidP="000572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81" w:type="dxa"/>
          </w:tcPr>
          <w:p w:rsidR="00AC6235" w:rsidRPr="00903E3C" w:rsidRDefault="00AC6235" w:rsidP="000572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Lēmuma pieņemšanas galīgais termiņš</w:t>
            </w:r>
          </w:p>
        </w:tc>
        <w:tc>
          <w:tcPr>
            <w:tcW w:w="5380" w:type="dxa"/>
          </w:tcPr>
          <w:p w:rsidR="00AC6235" w:rsidRPr="00903E3C" w:rsidRDefault="00AC6235" w:rsidP="00057295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Norāda termiņu, līdz kuram jautājum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jā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izskata vai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jā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pieņem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un pamatojumu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kāpēc.</w:t>
            </w:r>
          </w:p>
          <w:p w:rsidR="00AC6235" w:rsidRPr="00903E3C" w:rsidRDefault="00AC6235" w:rsidP="00057295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903E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Šo rindu aizpilda, tikai iesniedzot projektu steidzamības kārtībā</w:t>
            </w:r>
          </w:p>
        </w:tc>
      </w:tr>
    </w:tbl>
    <w:p w:rsidR="00AC6235" w:rsidRPr="00903E3C" w:rsidRDefault="00AC6235" w:rsidP="00AC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235" w:rsidRPr="00903E3C" w:rsidRDefault="00AC6235" w:rsidP="00AC6235">
      <w:pPr>
        <w:spacing w:after="0" w:line="240" w:lineRule="auto"/>
        <w:ind w:left="2127" w:hanging="1418"/>
        <w:jc w:val="both"/>
        <w:rPr>
          <w:rFonts w:ascii="Times New Roman" w:hAnsi="Times New Roman"/>
          <w:sz w:val="28"/>
          <w:szCs w:val="28"/>
        </w:rPr>
      </w:pPr>
      <w:r w:rsidRPr="00903E3C">
        <w:rPr>
          <w:rFonts w:ascii="Times New Roman" w:hAnsi="Times New Roman"/>
          <w:sz w:val="28"/>
          <w:szCs w:val="28"/>
        </w:rPr>
        <w:t>Pielikumā:</w:t>
      </w:r>
      <w:r w:rsidRPr="00903E3C">
        <w:rPr>
          <w:rFonts w:ascii="Times New Roman" w:hAnsi="Times New Roman"/>
          <w:sz w:val="28"/>
          <w:szCs w:val="28"/>
        </w:rPr>
        <w:tab/>
        <w:t>1. ..</w:t>
      </w:r>
    </w:p>
    <w:p w:rsidR="00AC6235" w:rsidRPr="00903E3C" w:rsidRDefault="00AC6235" w:rsidP="00AC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E3C">
        <w:rPr>
          <w:rFonts w:ascii="Times New Roman" w:hAnsi="Times New Roman"/>
          <w:sz w:val="28"/>
          <w:szCs w:val="28"/>
        </w:rPr>
        <w:tab/>
      </w:r>
      <w:r w:rsidRPr="00903E3C">
        <w:rPr>
          <w:rFonts w:ascii="Times New Roman" w:hAnsi="Times New Roman"/>
          <w:sz w:val="28"/>
          <w:szCs w:val="28"/>
        </w:rPr>
        <w:tab/>
      </w:r>
      <w:r w:rsidRPr="00903E3C">
        <w:rPr>
          <w:rFonts w:ascii="Times New Roman" w:hAnsi="Times New Roman"/>
          <w:sz w:val="28"/>
          <w:szCs w:val="28"/>
        </w:rPr>
        <w:tab/>
        <w:t>2. ..</w:t>
      </w:r>
    </w:p>
    <w:p w:rsidR="00AC6235" w:rsidRPr="00903E3C" w:rsidRDefault="00AC6235" w:rsidP="00AC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235" w:rsidRPr="00903E3C" w:rsidRDefault="00AC6235" w:rsidP="00AC6235">
      <w:pPr>
        <w:tabs>
          <w:tab w:val="left" w:pos="3261"/>
          <w:tab w:val="left" w:pos="59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</w:t>
      </w:r>
      <w:r>
        <w:rPr>
          <w:rFonts w:ascii="Times New Roman" w:hAnsi="Times New Roman"/>
          <w:sz w:val="28"/>
          <w:szCs w:val="28"/>
        </w:rPr>
        <w:tab/>
      </w:r>
      <w:r w:rsidRPr="00FD4E5F">
        <w:rPr>
          <w:rFonts w:ascii="Times New Roman" w:hAnsi="Times New Roman"/>
          <w:i/>
          <w:sz w:val="28"/>
          <w:szCs w:val="28"/>
        </w:rPr>
        <w:t>Paraksts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Vārds, uzvārds</w:t>
      </w:r>
    </w:p>
    <w:p w:rsidR="00AC6235" w:rsidRDefault="00AC6235" w:rsidP="00AC6235">
      <w:pPr>
        <w:spacing w:after="0" w:line="240" w:lineRule="auto"/>
        <w:rPr>
          <w:rFonts w:ascii="Times New Roman" w:hAnsi="Times New Roman"/>
          <w:szCs w:val="28"/>
        </w:rPr>
      </w:pPr>
    </w:p>
    <w:p w:rsidR="00AC6235" w:rsidRPr="00903E3C" w:rsidRDefault="00AC6235" w:rsidP="00AC6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Pr="00903E3C">
        <w:rPr>
          <w:rFonts w:ascii="Times New Roman" w:hAnsi="Times New Roman"/>
          <w:i/>
          <w:sz w:val="24"/>
          <w:szCs w:val="24"/>
        </w:rPr>
        <w:t>agatavotāja uzvārds</w:t>
      </w:r>
      <w:r>
        <w:rPr>
          <w:rFonts w:ascii="Times New Roman" w:hAnsi="Times New Roman"/>
          <w:i/>
          <w:sz w:val="24"/>
          <w:szCs w:val="24"/>
        </w:rPr>
        <w:t>, t</w:t>
      </w:r>
      <w:r w:rsidRPr="00903E3C">
        <w:rPr>
          <w:rFonts w:ascii="Times New Roman" w:hAnsi="Times New Roman"/>
          <w:i/>
          <w:sz w:val="24"/>
          <w:szCs w:val="24"/>
        </w:rPr>
        <w:t>ālruņa numurs</w:t>
      </w:r>
    </w:p>
    <w:p w:rsidR="00AC6235" w:rsidRPr="00903E3C" w:rsidRDefault="00AC6235" w:rsidP="00AC6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903E3C">
        <w:rPr>
          <w:rFonts w:ascii="Times New Roman" w:hAnsi="Times New Roman"/>
          <w:i/>
          <w:sz w:val="24"/>
          <w:szCs w:val="24"/>
        </w:rPr>
        <w:t>-pasta adrese</w:t>
      </w:r>
    </w:p>
    <w:p w:rsidR="009F2F49" w:rsidRDefault="009F2F49"/>
    <w:sectPr w:rsidR="009F2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35"/>
    <w:rsid w:val="009F2F49"/>
    <w:rsid w:val="00A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2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623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C6235"/>
  </w:style>
  <w:style w:type="character" w:customStyle="1" w:styleId="body1">
    <w:name w:val="body1"/>
    <w:rsid w:val="00AC6235"/>
    <w:rPr>
      <w:rFonts w:ascii="Verdana" w:hAnsi="Verdana" w:hint="defau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2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623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C6235"/>
  </w:style>
  <w:style w:type="character" w:customStyle="1" w:styleId="body1">
    <w:name w:val="body1"/>
    <w:rsid w:val="00AC6235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3649</Words>
  <Characters>2080</Characters>
  <Application>Microsoft Office Word</Application>
  <DocSecurity>0</DocSecurity>
  <Lines>17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2016-12-02T10:02:00Z</dcterms:created>
  <dcterms:modified xsi:type="dcterms:W3CDTF">2016-12-02T10:04:00Z</dcterms:modified>
</cp:coreProperties>
</file>