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77" w:rsidRPr="00766F30" w:rsidRDefault="00932A77" w:rsidP="00932A77">
      <w:pPr>
        <w:spacing w:after="0" w:line="240" w:lineRule="auto"/>
        <w:ind w:left="360" w:firstLine="36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>3. pielikums</w:t>
      </w:r>
    </w:p>
    <w:p w:rsidR="00932A77" w:rsidRPr="00766F30" w:rsidRDefault="00932A77" w:rsidP="00932A77">
      <w:pPr>
        <w:spacing w:after="0" w:line="240" w:lineRule="auto"/>
        <w:ind w:left="720" w:firstLine="72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 xml:space="preserve">Ministru kabineta </w:t>
      </w:r>
    </w:p>
    <w:p w:rsidR="00932A77" w:rsidRPr="00766F30" w:rsidRDefault="00932A77" w:rsidP="00932A77">
      <w:pPr>
        <w:spacing w:after="0" w:line="240" w:lineRule="auto"/>
        <w:ind w:left="720" w:firstLine="72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 xml:space="preserve">2013. gada 9. jūlija </w:t>
      </w:r>
    </w:p>
    <w:p w:rsidR="00932A77" w:rsidRDefault="00932A77" w:rsidP="00932A77">
      <w:pPr>
        <w:spacing w:after="0" w:line="240" w:lineRule="auto"/>
        <w:ind w:left="720" w:firstLine="72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>noteikumiem Nr. 383</w:t>
      </w:r>
    </w:p>
    <w:p w:rsidR="00256950" w:rsidRPr="00256950" w:rsidRDefault="00256950" w:rsidP="00256950">
      <w:pPr>
        <w:spacing w:after="0" w:line="240" w:lineRule="auto"/>
        <w:rPr>
          <w:rFonts w:eastAsia="Times New Roman"/>
          <w:i/>
          <w:sz w:val="20"/>
          <w:szCs w:val="20"/>
          <w:lang w:eastAsia="lv-LV"/>
        </w:rPr>
      </w:pPr>
      <w:r w:rsidRPr="00256950">
        <w:rPr>
          <w:i/>
          <w:sz w:val="20"/>
          <w:szCs w:val="20"/>
        </w:rPr>
        <w:t>(Pielikums MK 10.11.2015. noteikumu Nr. 643 redakcijā)</w:t>
      </w:r>
    </w:p>
    <w:p w:rsidR="00932A77" w:rsidRPr="00766F30" w:rsidRDefault="00932A77" w:rsidP="00932A77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932A77" w:rsidRPr="00766F30" w:rsidRDefault="00932A77" w:rsidP="00932A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6F30">
        <w:rPr>
          <w:b/>
          <w:bCs/>
          <w:sz w:val="28"/>
          <w:szCs w:val="28"/>
        </w:rPr>
        <w:t>Pārskats par ekonomiski pamatotiem energoefektivitāti uzlabojošiem p</w:t>
      </w:r>
      <w:r>
        <w:rPr>
          <w:b/>
          <w:bCs/>
          <w:sz w:val="28"/>
          <w:szCs w:val="28"/>
        </w:rPr>
        <w:t>asā</w:t>
      </w:r>
      <w:r w:rsidRPr="00766F30">
        <w:rPr>
          <w:b/>
          <w:bCs/>
          <w:sz w:val="28"/>
          <w:szCs w:val="28"/>
        </w:rPr>
        <w:t xml:space="preserve">kumiem, kuru īstenošanas izmaksas ir rentablas </w:t>
      </w:r>
      <w:r w:rsidRPr="00766F30">
        <w:rPr>
          <w:b/>
          <w:bCs/>
          <w:sz w:val="28"/>
          <w:szCs w:val="28"/>
        </w:rPr>
        <w:br/>
        <w:t>paredzamajā (plānotajā) kalpošanas laikā</w:t>
      </w:r>
    </w:p>
    <w:p w:rsidR="00932A77" w:rsidRDefault="00932A77" w:rsidP="00932A77">
      <w:pPr>
        <w:spacing w:after="0" w:line="240" w:lineRule="auto"/>
        <w:jc w:val="both"/>
        <w:rPr>
          <w:color w:val="000000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3310"/>
        <w:gridCol w:w="3183"/>
      </w:tblGrid>
      <w:tr w:rsidR="00932A77" w:rsidRPr="00766F30" w:rsidTr="000D2C8A">
        <w:tc>
          <w:tcPr>
            <w:tcW w:w="2235" w:type="dxa"/>
            <w:vAlign w:val="center"/>
          </w:tcPr>
          <w:p w:rsidR="00932A77" w:rsidRPr="00C64AB4" w:rsidRDefault="00932A77" w:rsidP="000D2C8A">
            <w:pPr>
              <w:spacing w:after="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1. Ēkas veids</w:t>
            </w:r>
          </w:p>
        </w:tc>
        <w:tc>
          <w:tcPr>
            <w:tcW w:w="7087" w:type="dxa"/>
            <w:gridSpan w:val="2"/>
            <w:vAlign w:val="center"/>
          </w:tcPr>
          <w:p w:rsidR="00932A77" w:rsidRPr="00766F30" w:rsidRDefault="00932A77" w:rsidP="000D2C8A">
            <w:p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766F30">
              <w:rPr>
                <w:bCs/>
                <w:i/>
                <w:sz w:val="18"/>
                <w:szCs w:val="18"/>
              </w:rPr>
              <w:t xml:space="preserve">[Saskaņā ar </w:t>
            </w:r>
            <w:r w:rsidRPr="00766F30">
              <w:rPr>
                <w:bCs/>
                <w:i/>
                <w:spacing w:val="-2"/>
                <w:sz w:val="18"/>
                <w:szCs w:val="18"/>
              </w:rPr>
              <w:t>Ministru kabineta 2013. gada 9. jūlija noteikumu Nr.</w:t>
            </w:r>
            <w:r>
              <w:rPr>
                <w:bCs/>
                <w:i/>
                <w:spacing w:val="-2"/>
                <w:sz w:val="18"/>
                <w:szCs w:val="18"/>
              </w:rPr>
              <w:t> </w:t>
            </w:r>
            <w:r w:rsidRPr="00766F30">
              <w:rPr>
                <w:bCs/>
                <w:i/>
                <w:spacing w:val="-2"/>
                <w:sz w:val="18"/>
                <w:szCs w:val="18"/>
              </w:rPr>
              <w:t xml:space="preserve">383 "Noteikumi par ēku </w:t>
            </w:r>
            <w:proofErr w:type="spellStart"/>
            <w:r w:rsidRPr="00766F30">
              <w:rPr>
                <w:bCs/>
                <w:i/>
                <w:spacing w:val="-2"/>
                <w:sz w:val="18"/>
                <w:szCs w:val="18"/>
              </w:rPr>
              <w:t>energosertifikāciju</w:t>
            </w:r>
            <w:proofErr w:type="spellEnd"/>
            <w:r w:rsidRPr="00766F30">
              <w:rPr>
                <w:bCs/>
                <w:i/>
                <w:spacing w:val="-2"/>
                <w:sz w:val="18"/>
                <w:szCs w:val="18"/>
              </w:rPr>
              <w:t>" 6.1. apakšpunktu</w:t>
            </w:r>
            <w:r w:rsidRPr="00766F30">
              <w:rPr>
                <w:bCs/>
                <w:i/>
                <w:sz w:val="18"/>
                <w:szCs w:val="18"/>
              </w:rPr>
              <w:t>]</w:t>
            </w:r>
          </w:p>
        </w:tc>
      </w:tr>
      <w:tr w:rsidR="00932A77" w:rsidRPr="00766F30" w:rsidTr="000D2C8A">
        <w:tc>
          <w:tcPr>
            <w:tcW w:w="2235" w:type="dxa"/>
          </w:tcPr>
          <w:p w:rsidR="00932A77" w:rsidRPr="00C64AB4" w:rsidRDefault="00932A77" w:rsidP="000D2C8A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>
              <w:rPr>
                <w:b/>
                <w:bCs/>
                <w:smallCaps/>
                <w:sz w:val="20"/>
                <w:szCs w:val="18"/>
              </w:rPr>
              <w:t>2. A</w:t>
            </w:r>
            <w:r w:rsidRPr="00C64AB4">
              <w:rPr>
                <w:b/>
                <w:bCs/>
                <w:smallCaps/>
                <w:sz w:val="20"/>
                <w:szCs w:val="18"/>
              </w:rPr>
              <w:t>drese</w:t>
            </w:r>
          </w:p>
        </w:tc>
        <w:tc>
          <w:tcPr>
            <w:tcW w:w="7087" w:type="dxa"/>
            <w:gridSpan w:val="2"/>
            <w:vAlign w:val="center"/>
          </w:tcPr>
          <w:p w:rsidR="00932A77" w:rsidRPr="00766F30" w:rsidRDefault="00932A77" w:rsidP="000D2C8A">
            <w:pPr>
              <w:spacing w:before="20" w:after="20" w:line="240" w:lineRule="auto"/>
              <w:rPr>
                <w:bCs/>
                <w:i/>
                <w:sz w:val="18"/>
                <w:szCs w:val="18"/>
              </w:rPr>
            </w:pPr>
            <w:r w:rsidRPr="00766F30">
              <w:rPr>
                <w:bCs/>
                <w:i/>
                <w:sz w:val="18"/>
                <w:szCs w:val="18"/>
              </w:rPr>
              <w:t>[Iela, ēka, ciems, pagasts vai pilsētas lauku teritorija, pilsēta, novads, apriņķis, pasta indekss]</w:t>
            </w:r>
          </w:p>
        </w:tc>
      </w:tr>
      <w:tr w:rsidR="00932A77" w:rsidRPr="00766F30" w:rsidTr="000D2C8A">
        <w:tc>
          <w:tcPr>
            <w:tcW w:w="2235" w:type="dxa"/>
            <w:vAlign w:val="center"/>
          </w:tcPr>
          <w:p w:rsidR="00932A77" w:rsidRPr="00C64AB4" w:rsidRDefault="00932A77" w:rsidP="000D2C8A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3. Ēkas daļa</w:t>
            </w:r>
          </w:p>
        </w:tc>
        <w:tc>
          <w:tcPr>
            <w:tcW w:w="7087" w:type="dxa"/>
            <w:gridSpan w:val="2"/>
            <w:vAlign w:val="center"/>
          </w:tcPr>
          <w:p w:rsidR="00932A77" w:rsidRPr="00766F30" w:rsidRDefault="00932A77" w:rsidP="000D2C8A">
            <w:pPr>
              <w:spacing w:before="20" w:after="20" w:line="240" w:lineRule="auto"/>
              <w:rPr>
                <w:bCs/>
                <w:i/>
                <w:sz w:val="18"/>
                <w:szCs w:val="18"/>
              </w:rPr>
            </w:pPr>
            <w:r w:rsidRPr="00766F30">
              <w:rPr>
                <w:bCs/>
                <w:i/>
                <w:sz w:val="18"/>
                <w:szCs w:val="18"/>
              </w:rPr>
              <w:t>[</w:t>
            </w:r>
            <w:r w:rsidRPr="00F97246">
              <w:rPr>
                <w:bCs/>
                <w:i/>
                <w:sz w:val="18"/>
                <w:szCs w:val="20"/>
              </w:rPr>
              <w:t>Norāda, ja attiecas uz ēkas daļu</w:t>
            </w:r>
            <w:r w:rsidRPr="00766F30">
              <w:rPr>
                <w:bCs/>
                <w:i/>
                <w:sz w:val="18"/>
                <w:szCs w:val="18"/>
              </w:rPr>
              <w:t>]</w:t>
            </w:r>
          </w:p>
        </w:tc>
      </w:tr>
      <w:tr w:rsidR="00932A77" w:rsidRPr="00766F30" w:rsidTr="000D2C8A">
        <w:tc>
          <w:tcPr>
            <w:tcW w:w="5859" w:type="dxa"/>
            <w:gridSpan w:val="2"/>
            <w:vAlign w:val="center"/>
          </w:tcPr>
          <w:p w:rsidR="00932A77" w:rsidRPr="00C64AB4" w:rsidRDefault="00932A77" w:rsidP="000D2C8A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4. Ēkas vai tās daļas (telpu grupas) kadastra apzīmējums</w:t>
            </w:r>
          </w:p>
        </w:tc>
        <w:tc>
          <w:tcPr>
            <w:tcW w:w="3463" w:type="dxa"/>
            <w:vAlign w:val="center"/>
          </w:tcPr>
          <w:p w:rsidR="00932A77" w:rsidRPr="00766F30" w:rsidRDefault="00932A77" w:rsidP="000D2C8A">
            <w:pPr>
              <w:spacing w:before="20" w:after="20" w:line="240" w:lineRule="auto"/>
              <w:rPr>
                <w:bCs/>
                <w:i/>
                <w:sz w:val="18"/>
                <w:szCs w:val="18"/>
              </w:rPr>
            </w:pPr>
            <w:r w:rsidRPr="00766F30">
              <w:rPr>
                <w:bCs/>
                <w:i/>
                <w:sz w:val="18"/>
                <w:szCs w:val="18"/>
              </w:rPr>
              <w:t>[XXXX XXX XXXX XXX XXX]</w:t>
            </w:r>
          </w:p>
        </w:tc>
      </w:tr>
    </w:tbl>
    <w:p w:rsidR="00932A77" w:rsidRPr="00766F30" w:rsidRDefault="00932A77" w:rsidP="00932A77">
      <w:pPr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4"/>
      </w:tblGrid>
      <w:tr w:rsidR="00932A77" w:rsidRPr="002B26CC" w:rsidTr="000D2C8A">
        <w:trPr>
          <w:trHeight w:val="20"/>
        </w:trPr>
        <w:tc>
          <w:tcPr>
            <w:tcW w:w="9322" w:type="dxa"/>
            <w:vAlign w:val="center"/>
          </w:tcPr>
          <w:p w:rsidR="00932A77" w:rsidRPr="002B26CC" w:rsidRDefault="00932A77" w:rsidP="000D2C8A">
            <w:pPr>
              <w:spacing w:before="20" w:after="20" w:line="240" w:lineRule="auto"/>
              <w:rPr>
                <w:sz w:val="20"/>
                <w:szCs w:val="20"/>
              </w:rPr>
            </w:pPr>
            <w:r w:rsidRPr="002B26CC">
              <w:rPr>
                <w:b/>
                <w:smallCaps/>
                <w:sz w:val="20"/>
                <w:szCs w:val="20"/>
              </w:rPr>
              <w:t xml:space="preserve">5. Priekšlikumi par pasākumiem ēkas energoefektivitātes uzlabošanai </w:t>
            </w:r>
          </w:p>
        </w:tc>
      </w:tr>
      <w:tr w:rsidR="00932A77" w:rsidRPr="002B26CC" w:rsidTr="00256950">
        <w:trPr>
          <w:trHeight w:val="2348"/>
        </w:trPr>
        <w:tc>
          <w:tcPr>
            <w:tcW w:w="9322" w:type="dxa"/>
          </w:tcPr>
          <w:p w:rsidR="00932A77" w:rsidRPr="002B26CC" w:rsidRDefault="00932A77" w:rsidP="000D2C8A">
            <w:pPr>
              <w:spacing w:after="0" w:line="240" w:lineRule="auto"/>
              <w:rPr>
                <w:spacing w:val="-2"/>
                <w:sz w:val="18"/>
                <w:szCs w:val="20"/>
              </w:rPr>
            </w:pPr>
            <w:r w:rsidRPr="002B26CC">
              <w:rPr>
                <w:spacing w:val="-2"/>
                <w:sz w:val="18"/>
                <w:szCs w:val="20"/>
              </w:rPr>
              <w:t>Priekšlikumi aizpildāmi brīvā formā, ievērojot šādus nosacījumus:</w:t>
            </w:r>
          </w:p>
          <w:p w:rsidR="00932A77" w:rsidRPr="002B26CC" w:rsidRDefault="00932A77" w:rsidP="00932A77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spacing w:val="-2"/>
                <w:sz w:val="18"/>
                <w:szCs w:val="20"/>
              </w:rPr>
            </w:pPr>
            <w:r w:rsidRPr="002B26CC">
              <w:rPr>
                <w:spacing w:val="-2"/>
                <w:sz w:val="18"/>
                <w:szCs w:val="20"/>
              </w:rPr>
              <w:t>iekļauj priekšlikumus</w:t>
            </w:r>
            <w:r w:rsidRPr="002B26CC">
              <w:rPr>
                <w:b/>
                <w:smallCaps/>
                <w:spacing w:val="-2"/>
                <w:sz w:val="20"/>
                <w:szCs w:val="20"/>
              </w:rPr>
              <w:t xml:space="preserve"> </w:t>
            </w:r>
            <w:r w:rsidRPr="002B26CC">
              <w:rPr>
                <w:spacing w:val="-2"/>
                <w:sz w:val="18"/>
                <w:szCs w:val="20"/>
              </w:rPr>
              <w:t>par pasākumiem, kas ir tehniski iespējami konkrētajai ēkai;</w:t>
            </w:r>
          </w:p>
          <w:p w:rsidR="00932A77" w:rsidRPr="002B26CC" w:rsidRDefault="00932A77" w:rsidP="00932A77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spacing w:val="-2"/>
                <w:sz w:val="18"/>
                <w:szCs w:val="20"/>
              </w:rPr>
            </w:pPr>
            <w:r w:rsidRPr="002B26CC">
              <w:rPr>
                <w:spacing w:val="-2"/>
                <w:sz w:val="18"/>
                <w:szCs w:val="20"/>
              </w:rPr>
              <w:t>norāda ieteikto pasākumu, tā</w:t>
            </w:r>
            <w:r w:rsidRPr="002B26CC">
              <w:rPr>
                <w:bCs/>
                <w:spacing w:val="-2"/>
                <w:sz w:val="18"/>
                <w:szCs w:val="20"/>
                <w:lang w:eastAsia="lv-LV"/>
              </w:rPr>
              <w:t xml:space="preserve"> aprakstu un s</w:t>
            </w:r>
            <w:r w:rsidRPr="002B26CC">
              <w:rPr>
                <w:spacing w:val="-2"/>
                <w:sz w:val="18"/>
                <w:szCs w:val="20"/>
              </w:rPr>
              <w:t>asniedzamo rādītāju, norādot nepieciešamās mērvienības;</w:t>
            </w:r>
          </w:p>
          <w:p w:rsidR="00932A77" w:rsidRPr="002B26CC" w:rsidRDefault="00932A77" w:rsidP="00932A77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spacing w:val="-2"/>
                <w:sz w:val="18"/>
                <w:szCs w:val="20"/>
              </w:rPr>
            </w:pPr>
            <w:r w:rsidRPr="002B26CC">
              <w:rPr>
                <w:bCs/>
                <w:spacing w:val="-2"/>
                <w:sz w:val="18"/>
                <w:szCs w:val="20"/>
                <w:lang w:eastAsia="lv-LV"/>
              </w:rPr>
              <w:t xml:space="preserve">norāda </w:t>
            </w:r>
            <w:r w:rsidRPr="002B26CC">
              <w:rPr>
                <w:spacing w:val="-2"/>
                <w:sz w:val="18"/>
                <w:szCs w:val="20"/>
              </w:rPr>
              <w:t>ieteiktā pasākum</w:t>
            </w:r>
            <w:r w:rsidRPr="002B26CC">
              <w:rPr>
                <w:bCs/>
                <w:spacing w:val="-2"/>
                <w:sz w:val="18"/>
                <w:szCs w:val="20"/>
                <w:lang w:eastAsia="lv-LV"/>
              </w:rPr>
              <w:t>a plānoto piegādātās enerģijas ietaupījumu, īpatnējo enerģijas ietaupījumu uz ēkas vienu kvadrātmetru gadā un procentuālo ietaupījumu (no esošā aprēķinātā ēkas energoefektivitātes novērtējuma);</w:t>
            </w:r>
          </w:p>
          <w:p w:rsidR="00932A77" w:rsidRPr="002B26CC" w:rsidRDefault="00932A77" w:rsidP="00932A77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spacing w:val="-2"/>
                <w:sz w:val="18"/>
                <w:szCs w:val="20"/>
              </w:rPr>
            </w:pPr>
            <w:r w:rsidRPr="002B26CC">
              <w:rPr>
                <w:spacing w:val="-2"/>
                <w:sz w:val="18"/>
                <w:szCs w:val="20"/>
              </w:rPr>
              <w:t>norāda priekšlikuma plānotās īstenošanas izmaksas (var norādīt arī pasākuma atmaksāšanās laiku);</w:t>
            </w:r>
          </w:p>
          <w:p w:rsidR="00932A77" w:rsidRPr="002B26CC" w:rsidRDefault="00932A77" w:rsidP="00932A77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spacing w:val="-2"/>
                <w:sz w:val="18"/>
                <w:szCs w:val="20"/>
              </w:rPr>
            </w:pPr>
            <w:r w:rsidRPr="002B26CC">
              <w:rPr>
                <w:spacing w:val="-2"/>
                <w:sz w:val="18"/>
                <w:szCs w:val="20"/>
              </w:rPr>
              <w:t>ja ēkai īstenotais priekšlikums palielina vai samazina arī kādas citas energosistēmas patēriņu, attiecīgo patēriņu atsevišķi norāda ar attiecīgi pozitīvu vai negatīvu zīmi;</w:t>
            </w:r>
          </w:p>
          <w:p w:rsidR="00932A77" w:rsidRPr="002B26CC" w:rsidRDefault="00932A77" w:rsidP="00932A77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spacing w:val="-2"/>
                <w:sz w:val="18"/>
                <w:szCs w:val="20"/>
              </w:rPr>
            </w:pPr>
            <w:r w:rsidRPr="002B26CC">
              <w:rPr>
                <w:spacing w:val="-2"/>
                <w:sz w:val="18"/>
                <w:szCs w:val="20"/>
              </w:rPr>
              <w:t xml:space="preserve">priekšlikumus numurē. Ja tiek piedāvāti alternatīvu priekšlikumu varianti, tos attiecīgi apzīmē (piemēram, 1A, 1B, 1C) un, ja nepieciešams, paskaidro, lai varētu </w:t>
            </w:r>
            <w:proofErr w:type="spellStart"/>
            <w:r w:rsidRPr="002B26CC">
              <w:rPr>
                <w:spacing w:val="-2"/>
                <w:sz w:val="18"/>
                <w:szCs w:val="20"/>
              </w:rPr>
              <w:t>indentificēt</w:t>
            </w:r>
            <w:proofErr w:type="spellEnd"/>
            <w:r w:rsidRPr="002B26CC">
              <w:rPr>
                <w:spacing w:val="-2"/>
                <w:sz w:val="18"/>
                <w:szCs w:val="20"/>
              </w:rPr>
              <w:t>, ar kuru vai kuriem citiem pasākumiem tie ir salīdzināmi un mijiedarbojas.</w:t>
            </w:r>
          </w:p>
        </w:tc>
      </w:tr>
    </w:tbl>
    <w:p w:rsidR="00256950" w:rsidRPr="00256950" w:rsidRDefault="00256950" w:rsidP="00932A77">
      <w:pPr>
        <w:spacing w:after="0" w:line="240" w:lineRule="auto"/>
        <w:rPr>
          <w:bCs/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1171"/>
        <w:gridCol w:w="1171"/>
        <w:gridCol w:w="1171"/>
        <w:gridCol w:w="1171"/>
        <w:gridCol w:w="1201"/>
      </w:tblGrid>
      <w:tr w:rsidR="00932A77" w:rsidRPr="008B7859" w:rsidTr="000D2C8A">
        <w:trPr>
          <w:trHeight w:val="225"/>
        </w:trPr>
        <w:tc>
          <w:tcPr>
            <w:tcW w:w="674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before="20" w:after="0" w:line="240" w:lineRule="auto"/>
              <w:ind w:left="284" w:hanging="284"/>
              <w:rPr>
                <w:b/>
                <w:smallCaps/>
                <w:sz w:val="20"/>
                <w:szCs w:val="18"/>
              </w:rPr>
            </w:pPr>
            <w:r w:rsidRPr="008B7859">
              <w:rPr>
                <w:sz w:val="20"/>
                <w:szCs w:val="18"/>
              </w:rPr>
              <w:br w:type="page"/>
            </w:r>
            <w:r w:rsidRPr="008B7859">
              <w:rPr>
                <w:b/>
                <w:smallCaps/>
                <w:sz w:val="20"/>
                <w:szCs w:val="18"/>
              </w:rPr>
              <w:t>6. Ēkas energoefektivitātes rādītāji un ieteikumu salīdzinājums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8B7859">
              <w:rPr>
                <w:spacing w:val="-4"/>
                <w:sz w:val="18"/>
                <w:szCs w:val="18"/>
              </w:rPr>
              <w:t xml:space="preserve">Uzlabojumu varianti </w:t>
            </w:r>
            <w:r w:rsidRPr="008B7859">
              <w:rPr>
                <w:spacing w:val="-4"/>
                <w:sz w:val="18"/>
                <w:szCs w:val="18"/>
              </w:rPr>
              <w:br/>
            </w:r>
            <w:r w:rsidRPr="008B7859">
              <w:rPr>
                <w:iCs/>
                <w:spacing w:val="-4"/>
                <w:sz w:val="18"/>
                <w:szCs w:val="18"/>
              </w:rPr>
              <w:t>(norāda attiecīgos šā pārskata 5. sadaļā ieteikto pasākumu numurus vai apzīmējumus)</w:t>
            </w:r>
          </w:p>
        </w:tc>
      </w:tr>
      <w:tr w:rsidR="00932A77" w:rsidRPr="008B7859" w:rsidTr="000D2C8A">
        <w:trPr>
          <w:trHeight w:val="253"/>
        </w:trPr>
        <w:tc>
          <w:tcPr>
            <w:tcW w:w="6745" w:type="dxa"/>
            <w:gridSpan w:val="4"/>
            <w:vMerge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8B7859">
              <w:rPr>
                <w:spacing w:val="-4"/>
                <w:sz w:val="18"/>
                <w:szCs w:val="18"/>
              </w:rPr>
              <w:t>1. variants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8B7859">
              <w:rPr>
                <w:spacing w:val="-4"/>
                <w:sz w:val="18"/>
                <w:szCs w:val="18"/>
              </w:rPr>
              <w:t>2. variants</w:t>
            </w:r>
          </w:p>
        </w:tc>
      </w:tr>
      <w:tr w:rsidR="00932A77" w:rsidRPr="008B7859" w:rsidTr="000D2C8A">
        <w:tc>
          <w:tcPr>
            <w:tcW w:w="6745" w:type="dxa"/>
            <w:gridSpan w:val="4"/>
            <w:vMerge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ind w:right="-57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>Rādītāji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Mēr</w:t>
            </w:r>
            <w:r w:rsidRPr="008B7859">
              <w:rPr>
                <w:iCs/>
                <w:sz w:val="18"/>
                <w:szCs w:val="18"/>
              </w:rPr>
              <w:t>vienība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>Izmērītie rādītāji bez korekcijas</w:t>
            </w: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ind w:left="-109" w:right="-107"/>
              <w:jc w:val="center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Aprēķinātie rādītāji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 xml:space="preserve">Sasniedzamie rādītāji </w:t>
            </w:r>
            <w:r>
              <w:rPr>
                <w:iCs/>
                <w:sz w:val="18"/>
                <w:szCs w:val="18"/>
              </w:rPr>
              <w:br/>
              <w:t>(</w:t>
            </w:r>
            <w:r w:rsidRPr="008B7859">
              <w:rPr>
                <w:iCs/>
                <w:sz w:val="18"/>
                <w:szCs w:val="18"/>
              </w:rPr>
              <w:t>pēc priekšlikumu īstenošanas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40" w:line="240" w:lineRule="auto"/>
              <w:ind w:left="340" w:hanging="340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6.1. Ēkas norobežojošo konstrukciju īpatnējais siltuma zudumu koeficients H</w:t>
            </w:r>
            <w:r w:rsidRPr="008B7859">
              <w:rPr>
                <w:sz w:val="18"/>
                <w:szCs w:val="18"/>
                <w:vertAlign w:val="subscript"/>
              </w:rPr>
              <w:t>T</w:t>
            </w:r>
            <w:r w:rsidRPr="008B7859">
              <w:rPr>
                <w:sz w:val="18"/>
                <w:szCs w:val="18"/>
              </w:rPr>
              <w:t>/</w:t>
            </w:r>
            <w:proofErr w:type="spellStart"/>
            <w:r w:rsidRPr="008B7859">
              <w:rPr>
                <w:sz w:val="18"/>
                <w:szCs w:val="18"/>
              </w:rPr>
              <w:t>A</w:t>
            </w:r>
            <w:r w:rsidRPr="008B7859">
              <w:rPr>
                <w:sz w:val="18"/>
                <w:szCs w:val="18"/>
                <w:vertAlign w:val="subscript"/>
              </w:rPr>
              <w:t>apr</w:t>
            </w:r>
            <w:proofErr w:type="spellEnd"/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W/(m</w:t>
            </w:r>
            <w:r w:rsidRPr="008B7859">
              <w:rPr>
                <w:sz w:val="18"/>
                <w:szCs w:val="18"/>
                <w:vertAlign w:val="superscript"/>
              </w:rPr>
              <w:t>2</w:t>
            </w:r>
            <w:r w:rsidRPr="008B7859">
              <w:rPr>
                <w:sz w:val="18"/>
                <w:szCs w:val="18"/>
              </w:rPr>
              <w:t>K)</w:t>
            </w:r>
          </w:p>
        </w:tc>
        <w:tc>
          <w:tcPr>
            <w:tcW w:w="12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40" w:line="240" w:lineRule="auto"/>
              <w:ind w:left="340" w:hanging="340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 xml:space="preserve">6.2. Ēkas ventilācijas siltuma zudumu īpatnējais koeficients </w:t>
            </w:r>
            <w:proofErr w:type="spellStart"/>
            <w:r w:rsidRPr="008B7859">
              <w:rPr>
                <w:sz w:val="18"/>
                <w:szCs w:val="18"/>
              </w:rPr>
              <w:t>H</w:t>
            </w:r>
            <w:r w:rsidRPr="008B7859">
              <w:rPr>
                <w:sz w:val="18"/>
                <w:szCs w:val="18"/>
                <w:vertAlign w:val="subscript"/>
              </w:rPr>
              <w:t>ve</w:t>
            </w:r>
            <w:proofErr w:type="spellEnd"/>
            <w:r w:rsidRPr="008B7859">
              <w:rPr>
                <w:sz w:val="18"/>
                <w:szCs w:val="18"/>
              </w:rPr>
              <w:t>/</w:t>
            </w:r>
            <w:proofErr w:type="spellStart"/>
            <w:r w:rsidRPr="008B7859">
              <w:rPr>
                <w:sz w:val="18"/>
                <w:szCs w:val="18"/>
              </w:rPr>
              <w:t>A</w:t>
            </w:r>
            <w:r w:rsidRPr="008B7859">
              <w:rPr>
                <w:sz w:val="18"/>
                <w:szCs w:val="18"/>
                <w:vertAlign w:val="subscript"/>
              </w:rPr>
              <w:t>apr</w:t>
            </w:r>
            <w:proofErr w:type="spellEnd"/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426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6.2.1. Siltumenerģijas atgūšana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6.3. Gaisa apmaiņas rādītājs</w:t>
            </w:r>
          </w:p>
        </w:tc>
        <w:tc>
          <w:tcPr>
            <w:tcW w:w="1271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m</w:t>
            </w:r>
            <w:r w:rsidRPr="008B7859">
              <w:rPr>
                <w:sz w:val="18"/>
                <w:szCs w:val="18"/>
                <w:vertAlign w:val="superscript"/>
              </w:rPr>
              <w:t>3</w:t>
            </w:r>
            <w:r w:rsidRPr="008B7859">
              <w:rPr>
                <w:sz w:val="18"/>
                <w:szCs w:val="18"/>
              </w:rPr>
              <w:t>/(h×m</w:t>
            </w:r>
            <w:r w:rsidRPr="008B7859">
              <w:rPr>
                <w:sz w:val="18"/>
                <w:szCs w:val="18"/>
                <w:vertAlign w:val="superscript"/>
              </w:rPr>
              <w:t>2</w:t>
            </w:r>
            <w:r w:rsidRPr="008B7859">
              <w:rPr>
                <w:sz w:val="18"/>
                <w:szCs w:val="18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340" w:hanging="340"/>
              <w:rPr>
                <w:b/>
                <w:sz w:val="18"/>
                <w:szCs w:val="18"/>
              </w:rPr>
            </w:pPr>
            <w:r w:rsidRPr="008B7859">
              <w:rPr>
                <w:b/>
                <w:iCs/>
                <w:sz w:val="18"/>
                <w:szCs w:val="18"/>
              </w:rPr>
              <w:t>6.4. Nepieciešamās e</w:t>
            </w:r>
            <w:r w:rsidRPr="008B7859">
              <w:rPr>
                <w:b/>
                <w:sz w:val="18"/>
                <w:szCs w:val="18"/>
              </w:rPr>
              <w:t>nerģijas novērtējums</w:t>
            </w:r>
            <w:r w:rsidRPr="008B7859">
              <w:rPr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>kWh/m</w:t>
            </w:r>
            <w:r w:rsidRPr="008B7859">
              <w:rPr>
                <w:iCs/>
                <w:sz w:val="18"/>
                <w:szCs w:val="18"/>
                <w:vertAlign w:val="superscript"/>
              </w:rPr>
              <w:t xml:space="preserve">2 </w:t>
            </w:r>
            <w:r w:rsidRPr="008B7859">
              <w:rPr>
                <w:iCs/>
                <w:sz w:val="18"/>
                <w:szCs w:val="18"/>
              </w:rPr>
              <w:t>gadā</w:t>
            </w: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rPr>
                <w:iCs/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t. sk.</w:t>
            </w:r>
            <w:r w:rsidRPr="008B7859">
              <w:rPr>
                <w:sz w:val="14"/>
                <w:szCs w:val="18"/>
              </w:rPr>
              <w:t xml:space="preserve">   </w:t>
            </w:r>
            <w:r w:rsidRPr="008B7859">
              <w:rPr>
                <w:sz w:val="18"/>
                <w:szCs w:val="18"/>
              </w:rPr>
              <w:t>6.4.1. apkurei</w:t>
            </w:r>
          </w:p>
        </w:tc>
        <w:tc>
          <w:tcPr>
            <w:tcW w:w="1271" w:type="dxa"/>
            <w:vMerge/>
            <w:shd w:val="clear" w:color="auto" w:fill="auto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1134" w:hanging="567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6.4.1.1. apkures izmērītais rādītājs ar klimata korekciju</w:t>
            </w:r>
          </w:p>
        </w:tc>
        <w:tc>
          <w:tcPr>
            <w:tcW w:w="1271" w:type="dxa"/>
            <w:vMerge/>
            <w:shd w:val="clear" w:color="auto" w:fill="auto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1049" w:hanging="623"/>
              <w:rPr>
                <w:iCs/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6.4.2. karstā ūdens sistēmā</w:t>
            </w:r>
          </w:p>
        </w:tc>
        <w:tc>
          <w:tcPr>
            <w:tcW w:w="1271" w:type="dxa"/>
            <w:vMerge/>
            <w:shd w:val="clear" w:color="auto" w:fill="auto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1049" w:hanging="623"/>
              <w:rPr>
                <w:iCs/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6.4.3. ventilācijai</w:t>
            </w:r>
            <w:r w:rsidRPr="008B7859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1" w:type="dxa"/>
            <w:vMerge/>
            <w:shd w:val="clear" w:color="auto" w:fill="auto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1049" w:hanging="623"/>
              <w:rPr>
                <w:iCs/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6.4.4. apgaismojumam</w:t>
            </w:r>
          </w:p>
        </w:tc>
        <w:tc>
          <w:tcPr>
            <w:tcW w:w="1271" w:type="dxa"/>
            <w:vMerge/>
            <w:shd w:val="clear" w:color="auto" w:fill="auto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1049" w:hanging="623"/>
              <w:rPr>
                <w:iCs/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6.4.5. dzesēšanai</w:t>
            </w:r>
          </w:p>
        </w:tc>
        <w:tc>
          <w:tcPr>
            <w:tcW w:w="1271" w:type="dxa"/>
            <w:vMerge/>
            <w:shd w:val="clear" w:color="auto" w:fill="auto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1049" w:hanging="623"/>
              <w:rPr>
                <w:b/>
                <w:iCs/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6.4.6. papildu</w:t>
            </w:r>
          </w:p>
        </w:tc>
        <w:tc>
          <w:tcPr>
            <w:tcW w:w="1271" w:type="dxa"/>
            <w:vMerge/>
            <w:shd w:val="clear" w:color="auto" w:fill="auto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right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Samazinājums, %</w:t>
            </w: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6.5. Siltuma ieguvumi ēkā: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>kWh/m</w:t>
            </w:r>
            <w:r w:rsidRPr="008B7859">
              <w:rPr>
                <w:iCs/>
                <w:sz w:val="18"/>
                <w:szCs w:val="18"/>
                <w:vertAlign w:val="superscript"/>
              </w:rPr>
              <w:t>2</w:t>
            </w:r>
            <w:r w:rsidRPr="008B7859">
              <w:rPr>
                <w:iCs/>
                <w:sz w:val="18"/>
                <w:szCs w:val="18"/>
              </w:rPr>
              <w:t xml:space="preserve"> gadā</w:t>
            </w:r>
          </w:p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>(apkures periodam)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879" w:hanging="454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 xml:space="preserve">6.5.1. iekšējie </w:t>
            </w: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879" w:hanging="454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 xml:space="preserve">6.5.2. saules </w:t>
            </w: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879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6.5.3. ieguvumu izman</w:t>
            </w:r>
            <w:r w:rsidRPr="008B7859">
              <w:rPr>
                <w:sz w:val="18"/>
                <w:szCs w:val="18"/>
              </w:rPr>
              <w:t>tošanas koeficients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apkures periodam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340" w:hanging="340"/>
              <w:rPr>
                <w:b/>
                <w:sz w:val="18"/>
                <w:szCs w:val="18"/>
              </w:rPr>
            </w:pPr>
            <w:r w:rsidRPr="008B7859">
              <w:rPr>
                <w:b/>
                <w:sz w:val="18"/>
                <w:szCs w:val="18"/>
              </w:rPr>
              <w:t>6.6. No atjaunojamiem energoresursiem ēkā saražotā enerģija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>kWh/m</w:t>
            </w:r>
            <w:r w:rsidRPr="008B7859">
              <w:rPr>
                <w:iCs/>
                <w:sz w:val="18"/>
                <w:szCs w:val="18"/>
                <w:vertAlign w:val="superscript"/>
              </w:rPr>
              <w:t xml:space="preserve">2 </w:t>
            </w:r>
            <w:r w:rsidRPr="008B7859">
              <w:rPr>
                <w:iCs/>
                <w:sz w:val="18"/>
                <w:szCs w:val="18"/>
              </w:rPr>
              <w:t>gadā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vMerge w:val="restart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340" w:hanging="340"/>
              <w:rPr>
                <w:b/>
                <w:sz w:val="18"/>
                <w:szCs w:val="18"/>
              </w:rPr>
            </w:pPr>
            <w:r w:rsidRPr="008B7859">
              <w:rPr>
                <w:b/>
                <w:sz w:val="18"/>
                <w:szCs w:val="18"/>
              </w:rPr>
              <w:t>6.7. Primārās enerģijas novērtējums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>kWh/m</w:t>
            </w:r>
            <w:r w:rsidRPr="008B7859">
              <w:rPr>
                <w:iCs/>
                <w:sz w:val="18"/>
                <w:szCs w:val="18"/>
                <w:vertAlign w:val="superscript"/>
              </w:rPr>
              <w:t xml:space="preserve">2 </w:t>
            </w:r>
            <w:r w:rsidRPr="008B7859">
              <w:rPr>
                <w:iCs/>
                <w:sz w:val="18"/>
                <w:szCs w:val="18"/>
              </w:rPr>
              <w:t>gadā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vMerge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340" w:hanging="340"/>
              <w:rPr>
                <w:sz w:val="18"/>
                <w:szCs w:val="18"/>
              </w:rPr>
            </w:pPr>
          </w:p>
        </w:tc>
        <w:tc>
          <w:tcPr>
            <w:tcW w:w="3815" w:type="dxa"/>
            <w:gridSpan w:val="3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ind w:left="-57" w:right="-57"/>
              <w:jc w:val="right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Samazinājums, %</w:t>
            </w: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vMerge w:val="restart"/>
            <w:shd w:val="clear" w:color="auto" w:fill="auto"/>
            <w:vAlign w:val="center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340" w:hanging="340"/>
              <w:rPr>
                <w:b/>
                <w:sz w:val="18"/>
                <w:szCs w:val="18"/>
              </w:rPr>
            </w:pPr>
            <w:r w:rsidRPr="008B7859">
              <w:rPr>
                <w:b/>
                <w:sz w:val="18"/>
                <w:szCs w:val="18"/>
              </w:rPr>
              <w:t>6.8. Oglekļa dioksīda (CO</w:t>
            </w:r>
            <w:r w:rsidRPr="008B7859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8B7859">
              <w:rPr>
                <w:b/>
                <w:sz w:val="18"/>
                <w:szCs w:val="18"/>
              </w:rPr>
              <w:t>) emisijas novērtējums</w:t>
            </w:r>
          </w:p>
        </w:tc>
        <w:tc>
          <w:tcPr>
            <w:tcW w:w="1271" w:type="dxa"/>
            <w:shd w:val="clear" w:color="auto" w:fill="auto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B7859">
              <w:rPr>
                <w:bCs/>
                <w:sz w:val="18"/>
                <w:szCs w:val="18"/>
              </w:rPr>
              <w:t>kg CO</w:t>
            </w:r>
            <w:r w:rsidRPr="008B7859">
              <w:rPr>
                <w:bCs/>
                <w:sz w:val="18"/>
                <w:szCs w:val="18"/>
                <w:vertAlign w:val="subscript"/>
              </w:rPr>
              <w:t>2</w:t>
            </w:r>
            <w:r w:rsidRPr="008B7859">
              <w:rPr>
                <w:bCs/>
                <w:sz w:val="18"/>
                <w:szCs w:val="18"/>
              </w:rPr>
              <w:t xml:space="preserve"> gadā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A77" w:rsidRPr="008B7859" w:rsidTr="000D2C8A">
        <w:tc>
          <w:tcPr>
            <w:tcW w:w="2930" w:type="dxa"/>
            <w:vMerge/>
            <w:shd w:val="clear" w:color="auto" w:fill="auto"/>
          </w:tcPr>
          <w:p w:rsidR="00932A77" w:rsidRPr="008B7859" w:rsidRDefault="00932A77" w:rsidP="000D2C8A">
            <w:pPr>
              <w:shd w:val="clear" w:color="auto" w:fill="FFFFFF"/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815" w:type="dxa"/>
            <w:gridSpan w:val="3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Samazinājums, %</w:t>
            </w:r>
          </w:p>
        </w:tc>
        <w:tc>
          <w:tcPr>
            <w:tcW w:w="1272" w:type="dxa"/>
            <w:tcBorders>
              <w:top w:val="single" w:sz="4" w:space="0" w:color="FFFFFF"/>
            </w:tcBorders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32A77" w:rsidRPr="008B7859" w:rsidRDefault="00932A77" w:rsidP="000D2C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32A77" w:rsidRDefault="00932A77" w:rsidP="00932A77">
      <w:pPr>
        <w:spacing w:after="0" w:line="240" w:lineRule="auto"/>
        <w:rPr>
          <w:sz w:val="20"/>
          <w:szCs w:val="20"/>
        </w:rPr>
      </w:pPr>
    </w:p>
    <w:tbl>
      <w:tblPr>
        <w:tblW w:w="5019" w:type="pct"/>
        <w:tblLayout w:type="fixed"/>
        <w:tblLook w:val="01E0" w:firstRow="1" w:lastRow="1" w:firstColumn="1" w:lastColumn="1" w:noHBand="0" w:noVBand="0"/>
      </w:tblPr>
      <w:tblGrid>
        <w:gridCol w:w="2190"/>
        <w:gridCol w:w="6364"/>
      </w:tblGrid>
      <w:tr w:rsidR="00932A77" w:rsidRPr="00766F30" w:rsidTr="000D2C8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77" w:rsidRPr="00C64AB4" w:rsidRDefault="00932A77" w:rsidP="000D2C8A">
            <w:pPr>
              <w:spacing w:before="20" w:after="20" w:line="240" w:lineRule="auto"/>
              <w:rPr>
                <w:sz w:val="20"/>
                <w:szCs w:val="18"/>
              </w:rPr>
            </w:pPr>
            <w:r w:rsidRPr="00766F30">
              <w:rPr>
                <w:b/>
                <w:smallCaps/>
                <w:sz w:val="20"/>
                <w:szCs w:val="20"/>
              </w:rPr>
              <w:t>7. ēkas energoefektivitātes uzlabošanas ieteikumu izdevējs</w:t>
            </w:r>
          </w:p>
        </w:tc>
      </w:tr>
      <w:tr w:rsidR="00932A77" w:rsidRPr="00766F30" w:rsidTr="000D2C8A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932A77" w:rsidRPr="00766F30" w:rsidRDefault="00932A77" w:rsidP="000D2C8A">
            <w:pPr>
              <w:spacing w:after="0" w:line="240" w:lineRule="auto"/>
              <w:ind w:left="284"/>
              <w:rPr>
                <w:bCs/>
                <w:spacing w:val="-2"/>
                <w:sz w:val="18"/>
                <w:szCs w:val="18"/>
              </w:rPr>
            </w:pPr>
            <w:r w:rsidRPr="00766F30">
              <w:rPr>
                <w:bCs/>
                <w:spacing w:val="-2"/>
                <w:sz w:val="18"/>
                <w:szCs w:val="18"/>
              </w:rPr>
              <w:t>Neatkarīgs eksperts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32A77" w:rsidRPr="00766F30" w:rsidRDefault="00932A77" w:rsidP="000D2C8A">
            <w:pPr>
              <w:spacing w:after="0" w:line="240" w:lineRule="auto"/>
              <w:rPr>
                <w:bCs/>
                <w:i/>
                <w:spacing w:val="-2"/>
                <w:sz w:val="18"/>
                <w:szCs w:val="18"/>
              </w:rPr>
            </w:pPr>
            <w:r w:rsidRPr="00766F30">
              <w:rPr>
                <w:bCs/>
                <w:i/>
                <w:spacing w:val="-2"/>
                <w:sz w:val="18"/>
                <w:szCs w:val="18"/>
              </w:rPr>
              <w:t>[Vārds un uzvārds]</w:t>
            </w:r>
          </w:p>
        </w:tc>
      </w:tr>
      <w:tr w:rsidR="00932A77" w:rsidRPr="00766F30" w:rsidTr="000D2C8A">
        <w:trPr>
          <w:trHeight w:val="9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932A77" w:rsidRPr="00766F30" w:rsidRDefault="00932A77" w:rsidP="000D2C8A">
            <w:pPr>
              <w:spacing w:after="0" w:line="240" w:lineRule="auto"/>
              <w:ind w:left="284"/>
              <w:rPr>
                <w:bCs/>
                <w:spacing w:val="-2"/>
                <w:sz w:val="18"/>
                <w:szCs w:val="18"/>
              </w:rPr>
            </w:pPr>
            <w:r w:rsidRPr="00766F30">
              <w:rPr>
                <w:bCs/>
                <w:spacing w:val="-2"/>
                <w:sz w:val="18"/>
                <w:szCs w:val="18"/>
              </w:rPr>
              <w:t>Reģistrācijas</w:t>
            </w:r>
            <w:r w:rsidRPr="00766F30">
              <w:rPr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766F30">
              <w:rPr>
                <w:bCs/>
                <w:spacing w:val="-2"/>
                <w:sz w:val="18"/>
                <w:szCs w:val="18"/>
              </w:rPr>
              <w:t>numurs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32A77" w:rsidRPr="00766F30" w:rsidRDefault="00932A77" w:rsidP="000D2C8A">
            <w:pPr>
              <w:spacing w:after="0" w:line="240" w:lineRule="auto"/>
              <w:rPr>
                <w:bCs/>
                <w:i/>
                <w:spacing w:val="-2"/>
                <w:sz w:val="18"/>
                <w:szCs w:val="18"/>
              </w:rPr>
            </w:pPr>
            <w:r w:rsidRPr="00766F30">
              <w:rPr>
                <w:bCs/>
                <w:i/>
                <w:spacing w:val="-2"/>
                <w:sz w:val="18"/>
                <w:szCs w:val="18"/>
              </w:rPr>
              <w:t>[Neatkarīga eksperta reģistrācijas numurs neatkarīgu ekspertu reģistrā]</w:t>
            </w:r>
          </w:p>
        </w:tc>
      </w:tr>
      <w:tr w:rsidR="00932A77" w:rsidRPr="00766F30" w:rsidTr="000D2C8A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A77" w:rsidRPr="00766F30" w:rsidRDefault="00932A77" w:rsidP="000D2C8A">
            <w:pPr>
              <w:spacing w:after="0" w:line="240" w:lineRule="auto"/>
              <w:ind w:firstLine="284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Datums</w:t>
            </w:r>
            <w:r w:rsidRPr="00E87E6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A77" w:rsidRPr="00766F30" w:rsidRDefault="00932A77" w:rsidP="000D2C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66F30">
              <w:rPr>
                <w:bCs/>
                <w:sz w:val="18"/>
                <w:szCs w:val="18"/>
              </w:rPr>
              <w:t>Paraksts</w:t>
            </w:r>
            <w:r w:rsidRPr="00E87E62">
              <w:rPr>
                <w:color w:val="000000"/>
                <w:sz w:val="18"/>
                <w:szCs w:val="18"/>
              </w:rPr>
              <w:t>*</w:t>
            </w:r>
          </w:p>
        </w:tc>
      </w:tr>
    </w:tbl>
    <w:p w:rsidR="00932A77" w:rsidRDefault="00932A77" w:rsidP="00932A77">
      <w:pPr>
        <w:spacing w:after="0" w:line="240" w:lineRule="auto"/>
        <w:rPr>
          <w:sz w:val="20"/>
          <w:szCs w:val="20"/>
        </w:rPr>
      </w:pPr>
    </w:p>
    <w:p w:rsidR="009A5FCC" w:rsidRPr="00932A77" w:rsidRDefault="00932A77" w:rsidP="00932A77">
      <w:r w:rsidRPr="00E87E62">
        <w:rPr>
          <w:sz w:val="18"/>
          <w:szCs w:val="20"/>
        </w:rPr>
        <w:t>Piezīme. * Dokumenta rekvizītus "Datums" un "Paraksts" neaizpilda, ja elektroniskais dokuments ir sagatavots atbilstoši normatīvajiem aktiem par elektronisko dokumentu noformēšanu.</w:t>
      </w:r>
    </w:p>
    <w:sectPr w:rsidR="009A5FCC" w:rsidRPr="00932A77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860"/>
    <w:multiLevelType w:val="hybridMultilevel"/>
    <w:tmpl w:val="C06EB1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3A1"/>
    <w:rsid w:val="00010FCF"/>
    <w:rsid w:val="000D2C8A"/>
    <w:rsid w:val="002167D5"/>
    <w:rsid w:val="00256950"/>
    <w:rsid w:val="00361F58"/>
    <w:rsid w:val="004142A8"/>
    <w:rsid w:val="004E03A1"/>
    <w:rsid w:val="008B5F42"/>
    <w:rsid w:val="00932A77"/>
    <w:rsid w:val="009A5FCC"/>
    <w:rsid w:val="00E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165E22-4697-4F6B-9E94-FC97DF5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mairis.strickis</dc:creator>
  <cp:keywords/>
  <cp:lastModifiedBy>elina.kurme</cp:lastModifiedBy>
  <cp:revision>3</cp:revision>
  <dcterms:created xsi:type="dcterms:W3CDTF">2015-11-20T10:10:00Z</dcterms:created>
  <dcterms:modified xsi:type="dcterms:W3CDTF">2015-11-20T10:32:00Z</dcterms:modified>
</cp:coreProperties>
</file>