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D" w:rsidRPr="00B27FB6" w:rsidRDefault="009D550D" w:rsidP="009D550D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B27FB6">
        <w:rPr>
          <w:sz w:val="28"/>
          <w:szCs w:val="28"/>
        </w:rPr>
        <w:t>. pielikums</w:t>
      </w:r>
    </w:p>
    <w:p w:rsidR="009D550D" w:rsidRPr="00B27FB6" w:rsidRDefault="009D550D" w:rsidP="009D550D">
      <w:pPr>
        <w:tabs>
          <w:tab w:val="left" w:pos="567"/>
        </w:tabs>
        <w:jc w:val="right"/>
        <w:rPr>
          <w:sz w:val="28"/>
          <w:szCs w:val="28"/>
        </w:rPr>
      </w:pPr>
      <w:r w:rsidRPr="00B27FB6">
        <w:rPr>
          <w:sz w:val="28"/>
          <w:szCs w:val="28"/>
        </w:rPr>
        <w:t>Ministru kabineta</w:t>
      </w:r>
    </w:p>
    <w:p w:rsidR="009D550D" w:rsidRPr="00B27FB6" w:rsidRDefault="009D550D" w:rsidP="009D550D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 xml:space="preserve">2018. gada </w:t>
      </w:r>
      <w:r>
        <w:rPr>
          <w:sz w:val="28"/>
          <w:szCs w:val="28"/>
        </w:rPr>
        <w:t>13. februāra</w:t>
      </w:r>
    </w:p>
    <w:p w:rsidR="009D550D" w:rsidRPr="00B27FB6" w:rsidRDefault="009D550D" w:rsidP="009D550D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>noteikumiem Nr. </w:t>
      </w:r>
      <w:r>
        <w:rPr>
          <w:sz w:val="28"/>
          <w:szCs w:val="28"/>
        </w:rPr>
        <w:t>79</w:t>
      </w:r>
    </w:p>
    <w:p w:rsidR="009D550D" w:rsidRPr="00303B8D" w:rsidRDefault="009D550D" w:rsidP="009D550D">
      <w:pPr>
        <w:jc w:val="both"/>
        <w:rPr>
          <w:sz w:val="28"/>
          <w:szCs w:val="26"/>
          <w:highlight w:val="yellow"/>
        </w:rPr>
      </w:pPr>
    </w:p>
    <w:p w:rsidR="009D550D" w:rsidRPr="00303B8D" w:rsidRDefault="009D550D" w:rsidP="009D550D">
      <w:pPr>
        <w:jc w:val="center"/>
        <w:rPr>
          <w:rStyle w:val="Hyperlink"/>
          <w:b/>
          <w:sz w:val="22"/>
          <w:szCs w:val="20"/>
        </w:rPr>
      </w:pPr>
      <w:r w:rsidRPr="00303B8D">
        <w:rPr>
          <w:b/>
          <w:bCs/>
          <w:sz w:val="28"/>
        </w:rPr>
        <w:t>Pārskats par piešķirtās valsts budžeta dotācijas izlietojumu 2018. gadā valsts un pašvaldību vienoto klientu apkalpošanas centru izveidei</w:t>
      </w:r>
    </w:p>
    <w:p w:rsidR="009D550D" w:rsidRPr="00303B8D" w:rsidRDefault="009D550D" w:rsidP="009D550D">
      <w:pPr>
        <w:rPr>
          <w:rStyle w:val="Hyperlink"/>
          <w:sz w:val="28"/>
          <w:szCs w:val="28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D550D" w:rsidRPr="005B4396" w:rsidTr="007946F0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50D" w:rsidRPr="005B4396" w:rsidRDefault="009D550D" w:rsidP="007946F0">
            <w:r w:rsidRPr="005B4396">
              <w:t>Datu apkopošanas pamatojums – Ministru kabineta 2018.</w:t>
            </w:r>
            <w:r>
              <w:t> </w:t>
            </w:r>
            <w:r w:rsidRPr="005B4396">
              <w:t xml:space="preserve">gada </w:t>
            </w:r>
            <w:r>
              <w:t>13. februāra</w:t>
            </w:r>
            <w:r w:rsidRPr="005B4396">
              <w:t xml:space="preserve"> noteikumi Nr.</w:t>
            </w:r>
            <w:r>
              <w:t> 79</w:t>
            </w:r>
            <w:r w:rsidRPr="005B4396">
              <w:t xml:space="preserve"> "Kārtība, kādā izmanto 2018. gadam paredzēto apropriāciju valsts un pašvaldību vienoto klientu apkalpošanas centru tīkla izveidei, uzturēšanai un publisko pakalpojumu sistēmas pilnveidei"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5B4396" w:rsidRDefault="009D550D" w:rsidP="007946F0">
            <w:pPr>
              <w:jc w:val="right"/>
            </w:pPr>
            <w:r w:rsidRPr="005B4396">
              <w:t>Veidlapa Nr. VARAM_KAC_IZV</w:t>
            </w:r>
          </w:p>
        </w:tc>
      </w:tr>
      <w:tr w:rsidR="009D550D" w:rsidRPr="005B4396" w:rsidTr="007946F0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0D" w:rsidRPr="005B4396" w:rsidRDefault="009D550D" w:rsidP="007946F0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5B4396" w:rsidRDefault="009D550D" w:rsidP="007946F0">
            <w:pPr>
              <w:jc w:val="center"/>
              <w:rPr>
                <w:b/>
                <w:bCs/>
              </w:rPr>
            </w:pPr>
            <w:r w:rsidRPr="005B4396">
              <w:rPr>
                <w:b/>
                <w:bCs/>
              </w:rPr>
              <w:t xml:space="preserve">Pārskats par </w:t>
            </w:r>
            <w:r w:rsidRPr="005B4396">
              <w:rPr>
                <w:b/>
                <w:bCs/>
              </w:rPr>
              <w:br/>
              <w:t>piešķirtās valsts budžeta dotācijas izlietojumu valsts un pašvaldības vienoto klientu apkalpošanas centru izveidei</w:t>
            </w:r>
          </w:p>
        </w:tc>
      </w:tr>
      <w:tr w:rsidR="009D550D" w:rsidRPr="005B4396" w:rsidTr="007946F0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0D" w:rsidRPr="005B4396" w:rsidRDefault="009D550D" w:rsidP="007946F0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5B4396" w:rsidRDefault="009D550D" w:rsidP="007946F0">
            <w:pPr>
              <w:jc w:val="center"/>
            </w:pPr>
            <w:r w:rsidRPr="005B4396">
              <w:t>KODI</w:t>
            </w:r>
          </w:p>
        </w:tc>
      </w:tr>
      <w:tr w:rsidR="009D550D" w:rsidRPr="005B4396" w:rsidTr="007946F0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550D" w:rsidRPr="005B4396" w:rsidRDefault="009D550D" w:rsidP="007946F0">
            <w:r w:rsidRPr="005B4396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jc w:val="center"/>
            </w:pPr>
          </w:p>
        </w:tc>
      </w:tr>
      <w:tr w:rsidR="009D550D" w:rsidRPr="005B4396" w:rsidTr="007946F0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550D" w:rsidRPr="005B4396" w:rsidRDefault="009D550D" w:rsidP="007946F0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jc w:val="center"/>
            </w:pPr>
          </w:p>
        </w:tc>
      </w:tr>
    </w:tbl>
    <w:p w:rsidR="009D550D" w:rsidRDefault="009D550D" w:rsidP="009D550D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9D550D" w:rsidRPr="00002943" w:rsidTr="007946F0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jc w:val="right"/>
              <w:rPr>
                <w:iCs/>
                <w:sz w:val="20"/>
                <w:szCs w:val="20"/>
              </w:rPr>
            </w:pPr>
            <w:r w:rsidRPr="000D0860">
              <w:rPr>
                <w:iCs/>
                <w:sz w:val="20"/>
                <w:szCs w:val="20"/>
              </w:rPr>
              <w:t>(</w:t>
            </w:r>
            <w:proofErr w:type="spellStart"/>
            <w:r w:rsidRPr="00002943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02943">
              <w:rPr>
                <w:iCs/>
                <w:sz w:val="20"/>
                <w:szCs w:val="20"/>
              </w:rPr>
              <w:t>)</w:t>
            </w:r>
          </w:p>
        </w:tc>
      </w:tr>
      <w:tr w:rsidR="009D550D" w:rsidRPr="00002943" w:rsidTr="007946F0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Pašvaldību līdzfinansējums</w:t>
            </w:r>
          </w:p>
        </w:tc>
      </w:tr>
      <w:tr w:rsidR="009D550D" w:rsidRPr="00002943" w:rsidTr="007946F0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02943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02943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02943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02943">
              <w:rPr>
                <w:sz w:val="20"/>
                <w:szCs w:val="20"/>
              </w:rPr>
              <w:t>zpilde pēc uzkrāšanas principa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4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0294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002943">
              <w:rPr>
                <w:sz w:val="20"/>
                <w:szCs w:val="20"/>
              </w:rPr>
              <w:t>transferti</w:t>
            </w:r>
            <w:proofErr w:type="spellEnd"/>
            <w:r w:rsidRPr="00002943">
              <w:rPr>
                <w:sz w:val="20"/>
                <w:szCs w:val="20"/>
              </w:rPr>
              <w:t xml:space="preserve"> noteiktam mērķim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 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0294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IZDEVUMI (2000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02943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02943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6C231B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lastRenderedPageBreak/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Krājumi, materiāli, energoresursi, preces, biroja preces un inventārs, k</w:t>
            </w:r>
            <w:r>
              <w:rPr>
                <w:sz w:val="20"/>
                <w:szCs w:val="20"/>
              </w:rPr>
              <w:t>o</w:t>
            </w:r>
            <w:r w:rsidRPr="00002943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Datorprogrammas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Pārējās licences, koncesijas un patenti, preču zīmes un tamlīdzīgas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Saimniecības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Pamatlīdzekļu 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9D550D" w:rsidRPr="00002943" w:rsidTr="007946F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D" w:rsidRPr="00002943" w:rsidRDefault="009D550D" w:rsidP="007946F0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D" w:rsidRPr="00002943" w:rsidRDefault="009D550D" w:rsidP="007946F0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</w:tbl>
    <w:p w:rsidR="009D550D" w:rsidRDefault="009D550D" w:rsidP="009D550D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9D550D" w:rsidRPr="005B4396" w:rsidTr="007946F0">
        <w:trPr>
          <w:trHeight w:val="78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0D" w:rsidRPr="005B4396" w:rsidRDefault="009D550D" w:rsidP="007946F0">
            <w:pPr>
              <w:spacing w:before="40" w:after="40"/>
              <w:jc w:val="both"/>
              <w:rPr>
                <w:szCs w:val="22"/>
              </w:rPr>
            </w:pPr>
            <w:r w:rsidRPr="005B4396">
              <w:rPr>
                <w:szCs w:val="22"/>
              </w:rPr>
              <w:t>Apliecinu, ka saņemtā valsts budžeta dotācija izmantota atbilstoši Ministru kabineta 2018.</w:t>
            </w:r>
            <w:r>
              <w:rPr>
                <w:szCs w:val="22"/>
              </w:rPr>
              <w:t> </w:t>
            </w:r>
            <w:r w:rsidRPr="005B4396">
              <w:rPr>
                <w:szCs w:val="22"/>
              </w:rPr>
              <w:t xml:space="preserve">gada </w:t>
            </w:r>
            <w:r>
              <w:t>13. februāra</w:t>
            </w:r>
            <w:r w:rsidRPr="005B4396">
              <w:t xml:space="preserve"> </w:t>
            </w:r>
            <w:r w:rsidRPr="005B4396">
              <w:rPr>
                <w:szCs w:val="22"/>
              </w:rPr>
              <w:t>noteikumiem Nr.</w:t>
            </w:r>
            <w:r>
              <w:rPr>
                <w:szCs w:val="22"/>
              </w:rPr>
              <w:t> 79</w:t>
            </w:r>
            <w:r w:rsidRPr="005B4396">
              <w:rPr>
                <w:szCs w:val="22"/>
              </w:rPr>
              <w:t xml:space="preserve"> "Kārtība, kādā izmanto 2018. gadam paredzēto apropriāciju valsts un pašvaldību vienoto klientu apkalpošanas centru tīkla izveidei, uzturēšanai un publisko pakalpojumu sistēmas pilnveidei"</w:t>
            </w:r>
          </w:p>
        </w:tc>
      </w:tr>
    </w:tbl>
    <w:p w:rsidR="009D550D" w:rsidRDefault="009D550D" w:rsidP="009D550D">
      <w:bookmarkStart w:id="0" w:name="_Hlk505268917"/>
    </w:p>
    <w:p w:rsidR="009D550D" w:rsidRPr="00EC1A15" w:rsidRDefault="009D550D" w:rsidP="009D550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9D550D" w:rsidRPr="005B4396" w:rsidTr="007946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9D550D" w:rsidRPr="005B4396" w:rsidTr="007946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spacing w:before="60"/>
              <w:rPr>
                <w:sz w:val="20"/>
                <w:szCs w:val="20"/>
              </w:rPr>
            </w:pPr>
          </w:p>
        </w:tc>
      </w:tr>
      <w:tr w:rsidR="009D550D" w:rsidRPr="005B4396" w:rsidTr="007946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D" w:rsidRPr="005B4396" w:rsidRDefault="009D550D" w:rsidP="007946F0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9D550D" w:rsidRPr="005B4396" w:rsidRDefault="009D550D" w:rsidP="009D550D">
      <w:pPr>
        <w:rPr>
          <w:sz w:val="28"/>
        </w:rPr>
      </w:pPr>
      <w:bookmarkStart w:id="1" w:name="_Hlk505268944"/>
      <w:bookmarkEnd w:id="0"/>
    </w:p>
    <w:p w:rsidR="009D550D" w:rsidRDefault="009D550D" w:rsidP="009D550D">
      <w:r w:rsidRPr="00002943">
        <w:t xml:space="preserve">Valsts budžeta dotācijas saņēmēja </w:t>
      </w:r>
    </w:p>
    <w:p w:rsidR="009D550D" w:rsidRDefault="009D550D" w:rsidP="009D550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:rsidR="009D550D" w:rsidRDefault="009D550D" w:rsidP="009D550D">
      <w:pPr>
        <w:ind w:firstLine="5387"/>
      </w:pPr>
      <w:r w:rsidRPr="005B4396">
        <w:rPr>
          <w:sz w:val="20"/>
        </w:rPr>
        <w:t>(vārds, uzvārds, paraksts*)</w:t>
      </w:r>
    </w:p>
    <w:p w:rsidR="009D550D" w:rsidRDefault="009D550D" w:rsidP="009D550D"/>
    <w:p w:rsidR="009D550D" w:rsidRDefault="009D550D" w:rsidP="009D550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:rsidR="009D550D" w:rsidRDefault="009D550D" w:rsidP="009D550D">
      <w:pPr>
        <w:ind w:firstLine="5387"/>
      </w:pPr>
      <w:r w:rsidRPr="005B4396">
        <w:rPr>
          <w:sz w:val="20"/>
        </w:rPr>
        <w:t>(vārds, uzvārds, paraksts*)</w:t>
      </w:r>
    </w:p>
    <w:p w:rsidR="009D550D" w:rsidRDefault="009D550D" w:rsidP="009D550D"/>
    <w:p w:rsidR="009D550D" w:rsidRPr="00303B8D" w:rsidRDefault="009D550D" w:rsidP="009D550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:rsidR="005428EF" w:rsidRPr="009D550D" w:rsidRDefault="005428EF" w:rsidP="009D550D">
      <w:bookmarkStart w:id="2" w:name="_GoBack"/>
      <w:bookmarkEnd w:id="1"/>
      <w:bookmarkEnd w:id="2"/>
    </w:p>
    <w:sectPr w:rsidR="005428EF" w:rsidRPr="009D5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0"/>
    <w:rsid w:val="001C2F50"/>
    <w:rsid w:val="005428EF"/>
    <w:rsid w:val="009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3209C0-8031-4713-8709-0E5C730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2018-02-15T08:29:00Z</dcterms:created>
  <dcterms:modified xsi:type="dcterms:W3CDTF">2018-02-15T08:29:00Z</dcterms:modified>
</cp:coreProperties>
</file>