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88" w:rsidRPr="00001168" w:rsidRDefault="00E27A88" w:rsidP="00E27A88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  <w:szCs w:val="28"/>
        </w:rPr>
        <w:t>4. pielikums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2017. gada 3. janvāra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noteikumiem Nr. 23</w:t>
      </w:r>
    </w:p>
    <w:p w:rsidR="00E27A88" w:rsidRPr="00B65674" w:rsidRDefault="00E27A88" w:rsidP="00E27A88">
      <w:pPr>
        <w:spacing w:before="360"/>
        <w:ind w:left="567" w:right="567"/>
        <w:jc w:val="center"/>
        <w:rPr>
          <w:rFonts w:ascii="Cambria" w:hAnsi="Cambria"/>
          <w:b/>
          <w:sz w:val="22"/>
        </w:rPr>
      </w:pPr>
      <w:r w:rsidRPr="00B65674">
        <w:rPr>
          <w:rFonts w:ascii="Cambria" w:hAnsi="Cambria"/>
          <w:b/>
          <w:sz w:val="22"/>
          <w:szCs w:val="28"/>
        </w:rPr>
        <w:t>Vienošanās Nr.__________</w:t>
      </w:r>
      <w:r w:rsidRPr="00B65674">
        <w:rPr>
          <w:rFonts w:ascii="Cambria" w:hAnsi="Cambria"/>
          <w:b/>
          <w:sz w:val="22"/>
          <w:szCs w:val="28"/>
        </w:rPr>
        <w:br/>
        <w:t xml:space="preserve">par notiesātā iesaistīšanu </w:t>
      </w:r>
      <w:proofErr w:type="spellStart"/>
      <w:r w:rsidRPr="00B65674">
        <w:rPr>
          <w:rFonts w:ascii="Cambria" w:hAnsi="Cambria"/>
          <w:b/>
          <w:sz w:val="22"/>
          <w:szCs w:val="28"/>
        </w:rPr>
        <w:t>resocializācijas</w:t>
      </w:r>
      <w:proofErr w:type="spellEnd"/>
      <w:r w:rsidRPr="00B65674">
        <w:rPr>
          <w:rFonts w:ascii="Cambria" w:hAnsi="Cambria"/>
          <w:b/>
          <w:sz w:val="22"/>
          <w:szCs w:val="28"/>
        </w:rPr>
        <w:t xml:space="preserve"> programmā atkarību mazināšanai</w:t>
      </w:r>
    </w:p>
    <w:p w:rsidR="00E27A88" w:rsidRPr="00001168" w:rsidRDefault="00E27A88" w:rsidP="00E27A88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5"/>
        <w:gridCol w:w="4201"/>
      </w:tblGrid>
      <w:tr w:rsidR="00E27A88" w:rsidRPr="00A8525A" w:rsidTr="00303E01">
        <w:tc>
          <w:tcPr>
            <w:tcW w:w="4643" w:type="dxa"/>
            <w:shd w:val="clear" w:color="auto" w:fill="auto"/>
          </w:tcPr>
          <w:p w:rsidR="00E27A88" w:rsidRPr="00A8525A" w:rsidRDefault="00E27A88" w:rsidP="00303E01">
            <w:pPr>
              <w:jc w:val="both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Olainē</w:t>
            </w:r>
          </w:p>
        </w:tc>
        <w:tc>
          <w:tcPr>
            <w:tcW w:w="4644" w:type="dxa"/>
            <w:shd w:val="clear" w:color="auto" w:fill="auto"/>
          </w:tcPr>
          <w:p w:rsidR="00E27A88" w:rsidRPr="00A8525A" w:rsidRDefault="00E27A88" w:rsidP="00303E01">
            <w:pPr>
              <w:jc w:val="right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20____.gada ____._____________</w:t>
            </w:r>
          </w:p>
        </w:tc>
      </w:tr>
    </w:tbl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 xml:space="preserve">Ieslodzījuma vietu pārvaldes Olaines cietums (Latvijas Cietumu slimnīca), </w:t>
      </w:r>
      <w:proofErr w:type="spellStart"/>
      <w:r w:rsidRPr="00001168">
        <w:rPr>
          <w:rFonts w:ascii="Cambria" w:hAnsi="Cambria"/>
          <w:sz w:val="19"/>
        </w:rPr>
        <w:t>reģ</w:t>
      </w:r>
      <w:proofErr w:type="spellEnd"/>
      <w:r w:rsidRPr="00001168">
        <w:rPr>
          <w:rFonts w:ascii="Cambria" w:hAnsi="Cambria"/>
          <w:sz w:val="19"/>
        </w:rPr>
        <w:t xml:space="preserve">. Nr. 90000027165, juridiskā adrese Stabu iela 89, Rīga, LV-1009, faktiskā adrese __________________________________, tā priekšnieka ____________________________ personā, kurš rīkojas saskaņā ar Ministru kabineta 2017. gada 3. janvāra noteikumu Nr. 23 "Iekšējās kārtības noteikumi brīvības atņemšanas iestādes struktūrvienībā, kurā tiek īstenota </w:t>
      </w:r>
      <w:proofErr w:type="spellStart"/>
      <w:r w:rsidRPr="00001168">
        <w:rPr>
          <w:rFonts w:ascii="Cambria" w:hAnsi="Cambria"/>
          <w:sz w:val="19"/>
        </w:rPr>
        <w:t>resocializācijas</w:t>
      </w:r>
      <w:proofErr w:type="spellEnd"/>
      <w:r w:rsidRPr="00001168">
        <w:rPr>
          <w:rFonts w:ascii="Cambria" w:hAnsi="Cambria"/>
          <w:sz w:val="19"/>
        </w:rPr>
        <w:t xml:space="preserve"> programma atkarību mazināšanai" 14. punktu, turpmāk – CIETUMS, no vienas puses, un _____________________________________, personas kods (ja tāda nav – dzimšanas gads, datums, mēnesis) ________________________, turpmāk – NOTIESĀTAIS, kurš ir iesaistīts </w:t>
      </w:r>
      <w:r w:rsidRPr="00001168">
        <w:rPr>
          <w:rFonts w:ascii="Cambria" w:hAnsi="Cambria"/>
          <w:sz w:val="19"/>
          <w:szCs w:val="28"/>
        </w:rPr>
        <w:t xml:space="preserve"> </w:t>
      </w:r>
      <w:proofErr w:type="spellStart"/>
      <w:r w:rsidRPr="00001168">
        <w:rPr>
          <w:rFonts w:ascii="Cambria" w:hAnsi="Cambria"/>
          <w:sz w:val="19"/>
        </w:rPr>
        <w:t>resocializācijas</w:t>
      </w:r>
      <w:proofErr w:type="spellEnd"/>
      <w:r w:rsidRPr="00001168">
        <w:rPr>
          <w:rFonts w:ascii="Cambria" w:hAnsi="Cambria"/>
          <w:sz w:val="19"/>
        </w:rPr>
        <w:t xml:space="preserve"> programmā atkarību mazināšanai, kura tiek īstenota Olaines cietuma Atkarīgo centrā, bez viltus, maldības un spaidiem noslēdz šādu vienošanos (turpmāk – Vienošanās):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 xml:space="preserve">1. NOTIESĀTAIS, parakstot Vienošanos, apliecina, ka viņš vēlas iesaistīties </w:t>
      </w:r>
      <w:proofErr w:type="spellStart"/>
      <w:r w:rsidRPr="00001168">
        <w:rPr>
          <w:rFonts w:ascii="Cambria" w:hAnsi="Cambria"/>
          <w:sz w:val="19"/>
        </w:rPr>
        <w:t>resocializācijas</w:t>
      </w:r>
      <w:proofErr w:type="spellEnd"/>
      <w:r w:rsidRPr="00001168">
        <w:rPr>
          <w:rFonts w:ascii="Cambria" w:hAnsi="Cambria"/>
          <w:sz w:val="19"/>
        </w:rPr>
        <w:t xml:space="preserve"> programmā atkarību mazināšanai un apņemas ievērot: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 xml:space="preserve">1.1. Latvijas Sodu izpildes kodeksa normas, kas attiecas uz notiesātajiem, kuri ir iesaistīti </w:t>
      </w:r>
      <w:proofErr w:type="spellStart"/>
      <w:r w:rsidRPr="00001168">
        <w:rPr>
          <w:rFonts w:ascii="Cambria" w:hAnsi="Cambria"/>
          <w:sz w:val="19"/>
        </w:rPr>
        <w:t>resocializācijas</w:t>
      </w:r>
      <w:proofErr w:type="spellEnd"/>
      <w:r w:rsidRPr="00001168">
        <w:rPr>
          <w:rFonts w:ascii="Cambria" w:hAnsi="Cambria"/>
          <w:sz w:val="19"/>
        </w:rPr>
        <w:t xml:space="preserve"> programmā atkarību mazināšanai;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 xml:space="preserve">1.2. Ministru kabineta 2017. gada 3. janvāra noteikumus Nr. 23 "Iekšējās kārtības noteikumi brīvības atņemšanas iestādes struktūrvienībā, kurā tiek īstenota </w:t>
      </w:r>
      <w:proofErr w:type="spellStart"/>
      <w:r w:rsidRPr="00001168">
        <w:rPr>
          <w:rFonts w:ascii="Cambria" w:hAnsi="Cambria"/>
          <w:sz w:val="19"/>
        </w:rPr>
        <w:t>resocializācijas</w:t>
      </w:r>
      <w:proofErr w:type="spellEnd"/>
      <w:r w:rsidRPr="00001168">
        <w:rPr>
          <w:rFonts w:ascii="Cambria" w:hAnsi="Cambria"/>
          <w:sz w:val="19"/>
        </w:rPr>
        <w:t xml:space="preserve"> programma atkarību mazināšanai";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 xml:space="preserve">1.3. atkarīgo centra dienas kārtību un ugunsdrošības noteikumus. 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>2. Parakstot Vienošanos, NOTIESĀTAIS: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 xml:space="preserve">2.1. apliecina, ka ir iepazīstināts ar Latvijas Sodu izpildes kodeksa normām, kas attiecas uz notiesātajiem, kuri ir iesaistīti </w:t>
      </w:r>
      <w:proofErr w:type="spellStart"/>
      <w:r w:rsidRPr="00001168">
        <w:rPr>
          <w:rFonts w:ascii="Cambria" w:hAnsi="Cambria"/>
          <w:sz w:val="19"/>
        </w:rPr>
        <w:t>resocializācijas</w:t>
      </w:r>
      <w:proofErr w:type="spellEnd"/>
      <w:r w:rsidRPr="00001168">
        <w:rPr>
          <w:rFonts w:ascii="Cambria" w:hAnsi="Cambria"/>
          <w:sz w:val="19"/>
        </w:rPr>
        <w:t xml:space="preserve"> programmā atkarību mazināšanai, un Ministru kabineta 2017. gada 3. janvāra noteikumos Nr. 23 "Iekšējās kārtības noteikumi brīvības atņemšanas iestādes struktūrvienībā, kurā tiek īstenota </w:t>
      </w:r>
      <w:proofErr w:type="spellStart"/>
      <w:r w:rsidRPr="00001168">
        <w:rPr>
          <w:rFonts w:ascii="Cambria" w:hAnsi="Cambria"/>
          <w:sz w:val="19"/>
        </w:rPr>
        <w:t>resocializācijas</w:t>
      </w:r>
      <w:proofErr w:type="spellEnd"/>
      <w:r w:rsidRPr="00001168">
        <w:rPr>
          <w:rFonts w:ascii="Cambria" w:hAnsi="Cambria"/>
          <w:sz w:val="19"/>
        </w:rPr>
        <w:t xml:space="preserve"> programma atkarību mazināšanai" notiesātajiem noteiktajām tiesībām un pienākumiem un minētās normas, tiesības un pienākumi viņam ir skaidri saprotami;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>2.2. apliecina, ka ir informēts par to, ka viņš ir disciplināri, civiltiesiski un krimināltiesiski atbildīgs par savas prettiesiskās darbības rezultātā nodarītajiem zaudējumiem CIETUMAM vai citām personām.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>3. Strīdi starp CIETUMU un NOTIESĀTO risināmi, savstarpēji vienojoties. Ja vienošanās netiek panākta, strīdus izskata normatīvajos aktos noteiktajā kārtībā.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>4. Vienošanās stājas spēkā tās abpusējas parakstīšanas brīdī.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 xml:space="preserve">5. Vienošanos uzskata par izbeigtu ar dienu, kad: 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>5.1. NOTIESĀTO pārvieto uz citu ieslodzījuma vietu;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>5.2. NOTIESĀTAIS ir izcietis piespriesto sodu vai tiesa viņu ir atbrīvojusi no soda izciešanas nosacīti pirms termiņa.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>6. CIETUMS var vienpusēji izbeigt vienošanos ar NOTIESĀTO, ja: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lastRenderedPageBreak/>
        <w:t>6.1. NOTIESĀTAIS neievēro Vienošanās 2. punktā minētos normatīvos aktus vai atkarīgo centra iekšējās kārtības noteikumus;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>6.2. NOTIESĀTAIS izdara jaunu noziedzīgo nodarījumu;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>6.3. ir citi apstākļi, kas liedz notiesātā turpmāko atrašanos atkarīgo centrā;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 xml:space="preserve">6.4. NOTIESĀTAIS nepiedalās atkarību mazināšanas programmas pasākumos ilgāk par divām nedēļām. 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>7. NOTIESĀTAIS var vienpusēji izbeigt vienošanos, iesniedzot iesniegumu CIETUMAM.</w:t>
      </w: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</w:p>
    <w:p w:rsidR="00E27A88" w:rsidRPr="00001168" w:rsidRDefault="00E27A88" w:rsidP="00E27A88">
      <w:pPr>
        <w:spacing w:line="260" w:lineRule="exact"/>
        <w:jc w:val="both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</w:rPr>
        <w:t>8. Vienošanās noformēta uz vienas lapas divos eksemplāros, viens eksemplārs NOTIESĀTAJAM, otrs – CIETUMAM. Abiem vienošanās eksemplāriem ir vienāds saturs un juridiskais spēks.</w:t>
      </w:r>
    </w:p>
    <w:p w:rsidR="00E27A88" w:rsidRPr="00001168" w:rsidRDefault="00E27A88" w:rsidP="00E27A88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5"/>
        <w:gridCol w:w="1279"/>
        <w:gridCol w:w="3122"/>
      </w:tblGrid>
      <w:tr w:rsidR="00E27A88" w:rsidRPr="00B65674" w:rsidTr="00303E01">
        <w:tc>
          <w:tcPr>
            <w:tcW w:w="4470" w:type="dxa"/>
            <w:shd w:val="clear" w:color="auto" w:fill="auto"/>
            <w:vAlign w:val="center"/>
          </w:tcPr>
          <w:p w:rsidR="00E27A88" w:rsidRPr="00B65674" w:rsidRDefault="00E27A88" w:rsidP="00303E01">
            <w:pPr>
              <w:jc w:val="center"/>
              <w:rPr>
                <w:rFonts w:ascii="Cambria" w:hAnsi="Cambria"/>
                <w:sz w:val="19"/>
              </w:rPr>
            </w:pPr>
            <w:r w:rsidRPr="00B65674">
              <w:rPr>
                <w:rFonts w:ascii="Cambria" w:hAnsi="Cambria"/>
                <w:sz w:val="19"/>
              </w:rPr>
              <w:t>Ieslodzījuma vietu pārvaldes</w:t>
            </w:r>
          </w:p>
          <w:p w:rsidR="00E27A88" w:rsidRPr="00B65674" w:rsidRDefault="00E27A88" w:rsidP="00303E01">
            <w:pPr>
              <w:jc w:val="center"/>
              <w:rPr>
                <w:rFonts w:ascii="Cambria" w:hAnsi="Cambria"/>
                <w:sz w:val="19"/>
              </w:rPr>
            </w:pPr>
            <w:r w:rsidRPr="00B65674">
              <w:rPr>
                <w:rFonts w:ascii="Cambria" w:hAnsi="Cambria"/>
                <w:sz w:val="19"/>
              </w:rPr>
              <w:t>Olaines cietuma (Latvijas Cietumu slimnīcas) priekšnieks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</w:p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</w:p>
          <w:p w:rsidR="00E27A88" w:rsidRPr="00B65674" w:rsidRDefault="00E27A88" w:rsidP="00303E01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E27A88" w:rsidRPr="00B65674" w:rsidRDefault="00E27A88" w:rsidP="00303E01">
            <w:pPr>
              <w:jc w:val="center"/>
              <w:rPr>
                <w:rFonts w:ascii="Cambria" w:hAnsi="Cambria"/>
                <w:sz w:val="19"/>
              </w:rPr>
            </w:pPr>
            <w:r w:rsidRPr="00B65674">
              <w:rPr>
                <w:rFonts w:ascii="Cambria" w:hAnsi="Cambria"/>
                <w:sz w:val="19"/>
              </w:rPr>
              <w:t>NOTIESĀTAIS</w:t>
            </w:r>
          </w:p>
        </w:tc>
      </w:tr>
      <w:tr w:rsidR="00E27A88" w:rsidRPr="00B65674" w:rsidTr="00303E01"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554" w:type="dxa"/>
            <w:shd w:val="clear" w:color="auto" w:fill="auto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auto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</w:p>
        </w:tc>
      </w:tr>
      <w:tr w:rsidR="00E27A88" w:rsidRPr="00B65674" w:rsidTr="00303E01">
        <w:tc>
          <w:tcPr>
            <w:tcW w:w="4470" w:type="dxa"/>
            <w:tcBorders>
              <w:top w:val="single" w:sz="4" w:space="0" w:color="auto"/>
            </w:tcBorders>
            <w:shd w:val="clear" w:color="auto" w:fill="auto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554" w:type="dxa"/>
            <w:shd w:val="clear" w:color="auto" w:fill="auto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:rsidR="00E27A88" w:rsidRPr="00B65674" w:rsidRDefault="00E27A8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B65674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  <w:tr w:rsidR="00E27A88" w:rsidRPr="00B65674" w:rsidTr="00303E01">
        <w:tc>
          <w:tcPr>
            <w:tcW w:w="4470" w:type="dxa"/>
            <w:shd w:val="clear" w:color="auto" w:fill="auto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  <w:r w:rsidRPr="00B65674">
              <w:rPr>
                <w:rFonts w:ascii="Cambria" w:hAnsi="Cambria"/>
                <w:sz w:val="19"/>
              </w:rPr>
              <w:t>Reģistrācijas Nr. 9000027165</w:t>
            </w:r>
          </w:p>
        </w:tc>
        <w:tc>
          <w:tcPr>
            <w:tcW w:w="1554" w:type="dxa"/>
            <w:shd w:val="clear" w:color="auto" w:fill="auto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auto"/>
          </w:tcPr>
          <w:p w:rsidR="00E27A88" w:rsidRPr="00B65674" w:rsidRDefault="00E27A8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  <w:tr w:rsidR="00E27A88" w:rsidRPr="00B65674" w:rsidTr="00303E01">
        <w:tc>
          <w:tcPr>
            <w:tcW w:w="4470" w:type="dxa"/>
            <w:shd w:val="clear" w:color="auto" w:fill="auto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  <w:r w:rsidRPr="00B65674">
              <w:rPr>
                <w:rFonts w:ascii="Cambria" w:hAnsi="Cambria"/>
                <w:sz w:val="19"/>
              </w:rPr>
              <w:t xml:space="preserve">Juridiskā adrese – Stabu iela 89, </w:t>
            </w:r>
          </w:p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  <w:r w:rsidRPr="00B65674">
              <w:rPr>
                <w:rFonts w:ascii="Cambria" w:hAnsi="Cambria"/>
                <w:sz w:val="19"/>
              </w:rPr>
              <w:t>Rīga, LV-1009</w:t>
            </w:r>
          </w:p>
        </w:tc>
        <w:tc>
          <w:tcPr>
            <w:tcW w:w="1554" w:type="dxa"/>
            <w:shd w:val="clear" w:color="auto" w:fill="auto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:rsidR="00E27A88" w:rsidRPr="00B65674" w:rsidRDefault="00E27A88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B65674">
              <w:rPr>
                <w:rFonts w:ascii="Cambria" w:hAnsi="Cambria"/>
                <w:sz w:val="17"/>
                <w:szCs w:val="17"/>
              </w:rPr>
              <w:t>(datums)</w:t>
            </w:r>
          </w:p>
        </w:tc>
      </w:tr>
      <w:tr w:rsidR="00E27A88" w:rsidRPr="00B65674" w:rsidTr="00303E01">
        <w:tc>
          <w:tcPr>
            <w:tcW w:w="4470" w:type="dxa"/>
            <w:shd w:val="clear" w:color="auto" w:fill="auto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  <w:r w:rsidRPr="00B65674">
              <w:rPr>
                <w:rFonts w:ascii="Cambria" w:hAnsi="Cambria"/>
                <w:sz w:val="19"/>
              </w:rPr>
              <w:t xml:space="preserve">Faktiskā adrese – Rīgas iela 10, Olaine, </w:t>
            </w:r>
            <w:r>
              <w:rPr>
                <w:rFonts w:ascii="Cambria" w:hAnsi="Cambria"/>
                <w:sz w:val="19"/>
              </w:rPr>
              <w:br/>
            </w:r>
            <w:r w:rsidRPr="00B65674">
              <w:rPr>
                <w:rFonts w:ascii="Cambria" w:hAnsi="Cambria"/>
                <w:sz w:val="19"/>
              </w:rPr>
              <w:t>Olaines nov., LV-2114</w:t>
            </w:r>
          </w:p>
        </w:tc>
        <w:tc>
          <w:tcPr>
            <w:tcW w:w="1554" w:type="dxa"/>
            <w:shd w:val="clear" w:color="auto" w:fill="auto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</w:p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557" w:type="dxa"/>
            <w:shd w:val="clear" w:color="auto" w:fill="auto"/>
          </w:tcPr>
          <w:p w:rsidR="00E27A88" w:rsidRPr="00B65674" w:rsidRDefault="00E27A88" w:rsidP="00303E01">
            <w:pPr>
              <w:rPr>
                <w:rFonts w:ascii="Cambria" w:hAnsi="Cambria"/>
                <w:sz w:val="19"/>
              </w:rPr>
            </w:pPr>
          </w:p>
        </w:tc>
      </w:tr>
    </w:tbl>
    <w:p w:rsidR="00842CDF" w:rsidRPr="00E27A88" w:rsidRDefault="00842CDF" w:rsidP="00E27A88">
      <w:bookmarkStart w:id="0" w:name="_GoBack"/>
      <w:bookmarkEnd w:id="0"/>
    </w:p>
    <w:sectPr w:rsidR="00842CDF" w:rsidRPr="00E27A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5"/>
    <w:rsid w:val="00842CDF"/>
    <w:rsid w:val="009A0835"/>
    <w:rsid w:val="00E27A88"/>
    <w:rsid w:val="00E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5A0866-8503-4B95-853C-C5A74A50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2017-02-03T10:15:00Z</dcterms:created>
  <dcterms:modified xsi:type="dcterms:W3CDTF">2017-02-03T10:15:00Z</dcterms:modified>
</cp:coreProperties>
</file>